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enthalpy changes and calorimetry.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are assessed on their understanding of the following outcomes:</w:t>
      </w:r>
    </w:p>
    <w:p>
      <w:pPr>
        <w:pStyle w:val="ListParagraph"/>
        <w:numPr>
          <w:ilvl w:val="0"/>
          <w:numId w:val="1"/>
        </w:numPr>
      </w:pPr>
      <w:r>
        <w:t xml:space="preserve">Define enthalpy and molar enthalpy for chemical reactions (</w:t>
      </w:r>
      <w:hyperlink w:history="1" r:id="rIdhq1-nv6aqhjrsynfwmpx7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Recall the application of Q = mcΔt to the analysis of heat transfer (</w:t>
      </w:r>
      <w:hyperlink w:history="1" r:id="rIdj_izlgrg6m6-4jgppdrf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Use calorimetry data to determine the enthalpy changes in chemical reactions (</w:t>
      </w:r>
      <w:hyperlink w:history="1" r:id="rId_d_x9-hpmw-tiul5q2pb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Use and interpret ΔH notation to communicate and calculate energy changes in chemical reactions (</w:t>
      </w:r>
      <w:hyperlink w:history="1" r:id="rId7gamjgm3t1mrp67inbui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Conceptual Understanding of Enthalpy</w:t>
            </w:r>
          </w:p>
        </w:tc>
        <w:tc>
          <w:p>
            <w:r>
              <w:t xml:space="preserve">Identifies enthalpy or molar enthalpy with incomplete or incorrect definitions (</w:t>
            </w:r>
            <w:hyperlink w:history="1" r:id="rIdnwzqsnjwsi-hlnwy0io9d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Defines enthalpy and molar enthalpy with minor gaps or imprecision.</w:t>
            </w:r>
          </w:p>
        </w:tc>
        <w:tc>
          <w:p>
            <w:r>
              <w:t xml:space="preserve">Defines enthalpy and molar enthalpy accurately and distinguishes between the two concepts.</w:t>
            </w:r>
          </w:p>
        </w:tc>
        <w:tc>
          <w:p>
            <w:r>
              <w:t xml:space="preserve">Defines enthalpy and molar enthalpy precisely and explains their relationship to chemical reactions.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Application of Heat Transfer Formula</w:t>
            </w:r>
          </w:p>
        </w:tc>
        <w:tc>
          <w:p>
            <w:r>
              <w:t xml:space="preserve">Attempts to use Q = mcΔt but with significant errors in variables or calculation (</w:t>
            </w:r>
            <w:hyperlink w:history="1" r:id="rIdtv6kvrheavi8tvbwgauxh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Uses Q = mcΔt with mostly correct variables; minor computational or unit errors present.</w:t>
            </w:r>
          </w:p>
        </w:tc>
        <w:tc>
          <w:p>
            <w:r>
              <w:t xml:space="preserve">Applies Q = mcΔt correctly with proper variables, units, and calculations throughout.</w:t>
            </w:r>
          </w:p>
        </w:tc>
        <w:tc>
          <w:p>
            <w:r>
              <w:t xml:space="preserve">Applies Q = mcΔt correctly and explains the role of each variable in determining heat transfer.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Calorimetry Data Analysis</w:t>
            </w:r>
          </w:p>
        </w:tc>
        <w:tc>
          <w:p>
            <w:r>
              <w:t xml:space="preserve">Collects or interprets calorimetry data with major gaps; minimal connection to enthalpy determination (</w:t>
            </w:r>
            <w:hyperlink w:history="1" r:id="rIdhmcym5mwylvxmq5olshb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Collects or interprets calorimetry data with minor errors; shows partial connection to enthalpy calculation.</w:t>
            </w:r>
          </w:p>
        </w:tc>
        <w:tc>
          <w:p>
            <w:r>
              <w:t xml:space="preserve">Analyzes calorimetry data accurately and determines enthalpy changes with correct methodology.</w:t>
            </w:r>
          </w:p>
        </w:tc>
        <w:tc>
          <w:p>
            <w:r>
              <w:t xml:space="preserve">Analyzes calorimetry data accurately, determines enthalpy changes, and evaluates experimental precision or sources of error.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ΔH Notation and Communication</w:t>
            </w:r>
          </w:p>
        </w:tc>
        <w:tc>
          <w:p>
            <w:r>
              <w:t xml:space="preserve">Uses ΔH notation inconsistently or with incorrect signs; communication is unclear (</w:t>
            </w:r>
            <w:hyperlink w:history="1" r:id="rIddq42vp8ncyehgaooajzrq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).</w:t>
            </w:r>
          </w:p>
        </w:tc>
        <w:tc>
          <w:p>
            <w:r>
              <w:t xml:space="preserve">Uses ΔH notation with mostly correct signs and units; communication is generally clear.</w:t>
            </w:r>
          </w:p>
        </w:tc>
        <w:tc>
          <w:p>
            <w:r>
              <w:t xml:space="preserve">Uses ΔH notation correctly with proper signs, units, and values; communication is clear and organized.</w:t>
            </w:r>
          </w:p>
        </w:tc>
        <w:tc>
          <w:p>
            <w:r>
              <w:t xml:space="preserve">Uses ΔH notation correctly and explains the significance of sign and magnitude in interpreting reaction thermochemistry.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 Sum the four scores to obtain a total out of 16.</w:t>
      </w:r>
    </w:p>
    <w:p>
      <w:pPr>
        <w:pStyle w:val="ListParagraph"/>
        <w:numPr>
          <w:ilvl w:val="0"/>
          <w:numId w:val="1"/>
        </w:numPr>
      </w:pPr>
      <w:r>
        <w:t xml:space="preserve">13 to 16: Excellent</w:t>
      </w:r>
    </w:p>
    <w:p>
      <w:pPr>
        <w:pStyle w:val="ListParagraph"/>
        <w:numPr>
          <w:ilvl w:val="0"/>
          <w:numId w:val="1"/>
        </w:numPr>
      </w:pPr>
      <w:r>
        <w:t xml:space="preserve">10 to 12: Good</w:t>
      </w:r>
    </w:p>
    <w:p>
      <w:pPr>
        <w:pStyle w:val="ListParagraph"/>
        <w:numPr>
          <w:ilvl w:val="0"/>
          <w:numId w:val="1"/>
        </w:numPr>
      </w:pPr>
      <w:r>
        <w:t xml:space="preserve">7 to 9: Satisfactory</w:t>
      </w:r>
    </w:p>
    <w:p>
      <w:pPr>
        <w:pStyle w:val="ListParagraph"/>
        <w:numPr>
          <w:ilvl w:val="0"/>
          <w:numId w:val="1"/>
        </w:numPr>
      </w:pPr>
      <w:r>
        <w:t xml:space="preserve">4 to 6: Needs improvement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Ensure students label all variables in calculations (m, c, ΔT, Q) and show unit cancellation to verify dimensional analysis.</w:t>
      </w:r>
    </w:p>
    <w:p>
      <w:pPr>
        <w:pStyle w:val="ListParagraph"/>
        <w:numPr>
          <w:ilvl w:val="0"/>
          <w:numId w:val="1"/>
        </w:numPr>
      </w:pPr>
      <w:r>
        <w:t xml:space="preserve">Accept both endothermic and exothermic reactions; check that the sign of ΔH matches the direction of heat flow (negative for exothermic, positive for endothermic).</w:t>
      </w:r>
    </w:p>
    <w:p>
      <w:pPr>
        <w:pStyle w:val="ListParagraph"/>
        <w:numPr>
          <w:ilvl w:val="0"/>
          <w:numId w:val="1"/>
        </w:numPr>
      </w:pPr>
      <w:r>
        <w:t xml:space="preserve">If assessing a model, require clear labelling of the calorimeter components, reactants, and thermometer placement; verify that the model reflects the experimental procedure from </w:t>
      </w:r>
      <w:hyperlink w:history="1" r:id="rId1-lyk1et5j2z7fg6ngvbb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For reports, require students to identify their data source (experimental measurement, literature value, or simulated data) and explain any discrepancies between expected and observed enthalpy values.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1-nv6aqhjrsynfwmpx7" Type="http://schemas.openxmlformats.org/officeDocument/2006/relationships/hyperlink" Target="https://goa-cc-uat-aili-app-001.azurewebsites.net/explore/node/23636" TargetMode="External"/><Relationship Id="rIdj_izlgrg6m6-4jgppdrfw" Type="http://schemas.openxmlformats.org/officeDocument/2006/relationships/hyperlink" Target="https://goa-cc-uat-aili-app-001.azurewebsites.net/explore/node/23634" TargetMode="External"/><Relationship Id="rId_d_x9-hpmw-tiul5q2pbw" Type="http://schemas.openxmlformats.org/officeDocument/2006/relationships/hyperlink" Target="https://goa-cc-uat-aili-app-001.azurewebsites.net/explore/node/23641" TargetMode="External"/><Relationship Id="rId7gamjgm3t1mrp67inbuik" Type="http://schemas.openxmlformats.org/officeDocument/2006/relationships/hyperlink" Target="https://goa-cc-uat-aili-app-001.azurewebsites.net/explore/node/23638" TargetMode="External"/><Relationship Id="rIdnwzqsnjwsi-hlnwy0io9d" Type="http://schemas.openxmlformats.org/officeDocument/2006/relationships/hyperlink" Target="https://goa-cc-uat-aili-app-001.azurewebsites.net/explore/node/23636" TargetMode="External"/><Relationship Id="rIdtv6kvrheavi8tvbwgauxh" Type="http://schemas.openxmlformats.org/officeDocument/2006/relationships/hyperlink" Target="https://goa-cc-uat-aili-app-001.azurewebsites.net/explore/node/23634" TargetMode="External"/><Relationship Id="rIdhmcym5mwylvxmq5olshbz" Type="http://schemas.openxmlformats.org/officeDocument/2006/relationships/hyperlink" Target="https://goa-cc-uat-aili-app-001.azurewebsites.net/explore/node/23641" TargetMode="External"/><Relationship Id="rIddq42vp8ncyehgaooajzrq" Type="http://schemas.openxmlformats.org/officeDocument/2006/relationships/hyperlink" Target="https://goa-cc-uat-aili-app-001.azurewebsites.net/explore/node/23638" TargetMode="External"/><Relationship Id="rId1-lyk1et5j2z7fg6ngvbb" Type="http://schemas.openxmlformats.org/officeDocument/2006/relationships/hyperlink" Target="https://goa-cc-uat-aili-app-001.azurewebsites.net/explore/node/23647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2026-10-04T10:15:25.574Z</dcterms:created>
  <dcterms:modified xsi:type="dcterms:W3CDTF">2026-10-04T10:15:25.574Z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