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Addition and Subtraction Within 100: Marking Guide</w:t>
      </w:r>
    </w:p>
    <w:p>
      <w:pPr>
        <w:pStyle w:val="Heading2"/>
      </w:pPr>
      <w:r>
        <w:t xml:space="preserve">Task</w:t>
      </w:r>
    </w:p>
    <w:p>
      <w:pPr>
        <w:spacing w:after="120"/>
      </w:pPr>
      <w:r>
        <w:t xml:space="preserve">Students present a labelled model or report on addition and subtraction within 100.</w:t>
      </w:r>
    </w:p>
    <w:p>
      <w:pPr>
        <w:pStyle w:val="Heading2"/>
      </w:pPr>
      <w:r>
        <w:t xml:space="preserve">Curriculum Alignment</w:t>
      </w:r>
    </w:p>
    <w:p>
      <w:pPr>
        <w:spacing w:after="120"/>
      </w:pPr>
      <w:r>
        <w:t xml:space="preserve">Students investigate addition and subtraction within 100 (</w:t>
      </w:r>
      <w:hyperlink w:history="1" r:id="rIdyrypdomcy45lciw1rj601">
        <w:r>
          <w:rPr>
            <w:color w:val="1e3a8a"/>
            <w:u w:val="single"/>
          </w:rPr>
          <w:t xml:space="preserve">Outcome</w:t>
        </w:r>
      </w:hyperlink>
      <w:r>
        <w:t xml:space="preserve">). The rubric assesses:</w:t>
      </w:r>
    </w:p>
    <w:p>
      <w:pPr>
        <w:pStyle w:val="ListParagraph"/>
        <w:numPr>
          <w:ilvl w:val="0"/>
          <w:numId w:val="1"/>
        </w:numPr>
      </w:pPr>
      <w:r>
        <w:t xml:space="preserve">Recall and apply addition and subtraction number facts with addends to 10 and related subtraction facts (</w:t>
      </w:r>
      <w:hyperlink w:history="1" r:id="rIdwugjcnblysjccmrvcbfc8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Add numbers up to a sum of 100 and subtract numbers with a maximum minuend of 100 (</w:t>
      </w:r>
      <w:hyperlink w:history="1" r:id="rIdbcyf09ilzoif03kkibhao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Verify a sum or difference using inverse operations (</w:t>
      </w:r>
      <w:hyperlink w:history="1" r:id="rIdo8-qyxaipmpftwukttap4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Solve problems using addition and subtraction of countable quantities or measurable lengths (</w:t>
      </w:r>
      <w:hyperlink w:history="1" r:id="rIdoniujhlsbj-nnbhsz1ryf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Heading2"/>
      </w:pPr>
      <w:r>
        <w:t xml:space="preserve">Rubric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Criterion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Beginning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Developing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Proficient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Exemplary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Accuracy of calculations</w:t>
            </w:r>
          </w:p>
        </w:tc>
        <w:tc>
          <w:p>
            <w:r>
              <w:t xml:space="preserve">Calculations contain multiple errors. Sums or differences are incorrect.</w:t>
            </w:r>
          </w:p>
        </w:tc>
        <w:tc>
          <w:p>
            <w:r>
              <w:t xml:space="preserve">Some calculations are correct; others contain errors. Shows inconsistent accuracy.</w:t>
            </w:r>
          </w:p>
        </w:tc>
        <w:tc>
          <w:p>
            <w:r>
              <w:t xml:space="preserve">Calculations are accurate. Sums and differences are correct within 100.</w:t>
            </w:r>
          </w:p>
        </w:tc>
        <w:tc>
          <w:p>
            <w:r>
              <w:t xml:space="preserve">Calculations are accurate and verified using inverse operations.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Use of strategies</w:t>
            </w:r>
          </w:p>
        </w:tc>
        <w:tc>
          <w:p>
            <w:r>
              <w:t xml:space="preserve">No clear strategy shown. Work is unclear or missing.</w:t>
            </w:r>
          </w:p>
        </w:tc>
        <w:tc>
          <w:p>
            <w:r>
              <w:t xml:space="preserve">Uses one strategy inconsistently. Strategy may be partially applied or confusing.</w:t>
            </w:r>
          </w:p>
        </w:tc>
        <w:tc>
          <w:p>
            <w:r>
              <w:t xml:space="preserve">Uses a clear strategy such as making tens or doubles. Strategy is applied correctly.</w:t>
            </w:r>
          </w:p>
        </w:tc>
        <w:tc>
          <w:p>
            <w:r>
              <w:t xml:space="preserve">Uses multiple strategies flexibly. Explains why a strategy works.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Labelling and representation</w:t>
            </w:r>
          </w:p>
        </w:tc>
        <w:tc>
          <w:p>
            <w:r>
              <w:t xml:space="preserve">Model or report has no labels or labels are missing. Representation is unclear.</w:t>
            </w:r>
          </w:p>
        </w:tc>
        <w:tc>
          <w:p>
            <w:r>
              <w:t xml:space="preserve">Model or report has some labels. Representation is partially clear or incomplete.</w:t>
            </w:r>
          </w:p>
        </w:tc>
        <w:tc>
          <w:p>
            <w:r>
              <w:t xml:space="preserve">Model or report is clearly labelled. Numbers and quantities are easy to identify.</w:t>
            </w:r>
          </w:p>
        </w:tc>
        <w:tc>
          <w:p>
            <w:r>
              <w:t xml:space="preserve">Model or report is clearly labelled with all parts identified. Representation shows understanding of composition.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Problem solving</w:t>
            </w:r>
          </w:p>
        </w:tc>
        <w:tc>
          <w:p>
            <w:r>
              <w:t xml:space="preserve">Does not solve the problem or solution is incorrect.</w:t>
            </w:r>
          </w:p>
        </w:tc>
        <w:tc>
          <w:p>
            <w:r>
              <w:t xml:space="preserve">Attempts to solve but solution is incomplete or partially correct.</w:t>
            </w:r>
          </w:p>
        </w:tc>
        <w:tc>
          <w:p>
            <w:r>
              <w:t xml:space="preserve">Solves the problem correctly using addition or subtraction.</w:t>
            </w:r>
          </w:p>
        </w:tc>
        <w:tc>
          <w:p>
            <w:r>
              <w:t xml:space="preserve">Solves the problem and shows how the same sum can be made in more than one way.</w:t>
            </w:r>
          </w:p>
        </w:tc>
      </w:tr>
    </w:tbl>
    <w:p/>
    <w:p>
      <w:pPr>
        <w:pStyle w:val="Heading2"/>
      </w:pPr>
      <w:r>
        <w:t xml:space="preserve">Scoring</w:t>
      </w:r>
    </w:p>
    <w:p>
      <w:pPr>
        <w:spacing w:after="120"/>
      </w:pPr>
      <w:r>
        <w:t xml:space="preserve">Assign point values to each level: Beginning = 1 point, Developing = 2 points, Proficient = 3 points, Exemplary = 4 points. Add the points achieved across all four criteria. Use the following bands to determine the overall level: 4–6 = Beginning, 7–10 = Developing, 11–14 = Proficient, 15–16 = Exemplary.</w:t>
      </w:r>
    </w:p>
    <w:p>
      <w:pPr>
        <w:pStyle w:val="Heading2"/>
      </w:pPr>
      <w:r>
        <w:t xml:space="preserve">Notes for the Teacher</w:t>
      </w:r>
    </w:p>
    <w:p>
      <w:pPr>
        <w:pStyle w:val="ListParagraph"/>
        <w:numPr>
          <w:ilvl w:val="0"/>
          <w:numId w:val="1"/>
        </w:numPr>
      </w:pPr>
      <w:r>
        <w:t xml:space="preserve">Look for evidence that the student can work with numbers up to 100, not just within the teens. Accept any correct strategy, whether it uses tens, doubles, or counting on.</w:t>
      </w:r>
    </w:p>
    <w:p>
      <w:pPr>
        <w:pStyle w:val="ListParagraph"/>
        <w:numPr>
          <w:ilvl w:val="0"/>
          <w:numId w:val="1"/>
        </w:numPr>
      </w:pPr>
      <w:r>
        <w:t xml:space="preserve">When a student verifies using inverse operations (for example, checking 25 + 15 = 40 by calculating 40 − 15 = 25), mark the Accuracy criterion at Exemplary even if the initial calculation took longer.</w:t>
      </w:r>
    </w:p>
    <w:p>
      <w:pPr>
        <w:pStyle w:val="ListParagraph"/>
        <w:numPr>
          <w:ilvl w:val="0"/>
          <w:numId w:val="1"/>
        </w:numPr>
      </w:pPr>
      <w:r>
        <w:t xml:space="preserve">Accept models in any form: drawings, base-ten blocks, number lines, or written equations. A sum can be composed in multiple ways.</w:t>
      </w:r>
    </w:p>
    <w:p>
      <w:pPr>
        <w:pStyle w:val="ListParagraph"/>
        <w:numPr>
          <w:ilvl w:val="0"/>
          <w:numId w:val="1"/>
        </w:numPr>
      </w:pPr>
      <w:r>
        <w:t xml:space="preserve">For the Problem Solving criterion, "more than one way" means the student shows 35 = 30 + 5 and 35 = 20 + 15, for example. This aligns to the understanding that a sum can be composed in multiple ways (</w:t>
      </w:r>
      <w:hyperlink w:history="1" r:id="rIdigqrzk9bg1kasfeykap-g">
        <w:r>
          <w:rPr>
            <w:color w:val="1e3a8a"/>
            <w:u w:val="single"/>
          </w:rPr>
          <w:t xml:space="preserve">Understanding</w:t>
        </w:r>
      </w:hyperlink>
      <w:r>
        <w:t xml:space="preserve">).</w:t>
      </w:r>
    </w:p>
    <w:p/>
    <w:p>
      <w:r>
        <w:rPr>
          <w:color w:val="888888"/>
          <w:sz w:val="16"/>
          <w:szCs w:val="16"/>
        </w:rPr>
        <w:t xml:space="preserve">AILI marking guide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rypdomcy45lciw1rj601" Type="http://schemas.openxmlformats.org/officeDocument/2006/relationships/hyperlink" Target="https://goa-cc-uat-aili-app-001.azurewebsites.net/explore/node/29844" TargetMode="External"/><Relationship Id="rIdwugjcnblysjccmrvcbfc8" Type="http://schemas.openxmlformats.org/officeDocument/2006/relationships/hyperlink" Target="https://goa-cc-uat-aili-app-001.azurewebsites.net/explore/node/29852" TargetMode="External"/><Relationship Id="rIdbcyf09ilzoif03kkibhao" Type="http://schemas.openxmlformats.org/officeDocument/2006/relationships/hyperlink" Target="https://goa-cc-uat-aili-app-001.azurewebsites.net/explore/node/29852" TargetMode="External"/><Relationship Id="rIdo8-qyxaipmpftwukttap4" Type="http://schemas.openxmlformats.org/officeDocument/2006/relationships/hyperlink" Target="https://goa-cc-uat-aili-app-001.azurewebsites.net/explore/node/29852" TargetMode="External"/><Relationship Id="rIdoniujhlsbj-nnbhsz1ryf" Type="http://schemas.openxmlformats.org/officeDocument/2006/relationships/hyperlink" Target="https://goa-cc-uat-aili-app-001.azurewebsites.net/explore/node/29852" TargetMode="External"/><Relationship Id="rIdigqrzk9bg1kasfeykap-g" Type="http://schemas.openxmlformats.org/officeDocument/2006/relationships/hyperlink" Target="https://goa-cc-uat-aili-app-001.azurewebsites.net/explore/node/29847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 and Subtraction Within 100: Marking Guide</dc:title>
  <dc:creator>AILI</dc:creator>
  <cp:lastModifiedBy>Un-named</cp:lastModifiedBy>
  <cp:revision>1</cp:revision>
  <dcterms:created xsi:type="dcterms:W3CDTF">2026-10-04T06:02:17.599Z</dcterms:created>
  <dcterms:modified xsi:type="dcterms:W3CDTF">2026-10-04T06:02:17.599Z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