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Grade 2 Physical Education and Wellness: Year at a Glance</w:t>
      </w:r>
    </w:p>
    <w:p>
      <w:pPr>
        <w:pStyle w:val="Heading2"/>
      </w:pPr>
      <w:r>
        <w:t xml:space="preserve">Overview</w:t>
      </w:r>
    </w:p>
    <w:p>
      <w:pPr>
        <w:spacing w:after="120"/>
      </w:pPr>
      <w:r>
        <w:t xml:space="preserve">This year, children build money smarts alongside movement skills. They learn how choices affect how we spend and save. </w:t>
      </w:r>
      <w:hyperlink w:history="1" r:id="rIdj9a88qtwr1rgr6jaynrdg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spacing w:after="120"/>
      </w:pPr>
      <w:r>
        <w:t xml:space="preserve">Children explore what makes moving their bodies fun and meaningful, building habits for active living they can carry through life. </w:t>
      </w:r>
      <w:hyperlink w:history="1" r:id="rIdmg5afibz6_4rb0ihk9ffm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spacing w:after="120"/>
      </w:pPr>
      <w:r>
        <w:t xml:space="preserve">Kids practice moving with more control, more spatial awareness, and better teamwork, growing stronger and steadier every week. </w:t>
      </w:r>
      <w:hyperlink w:history="1" r:id="rIdhnsemyrw73q9salvlpgrj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spacing w:after="120"/>
      </w:pPr>
      <w:r>
        <w:t xml:space="preserve">Through play and daily routines, children explore roles, responsibilities, and self-regulation, building resilience and confidence. </w:t>
      </w:r>
      <w:hyperlink w:history="1" r:id="rIdbcwhnx7216idy6hzn2mqo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spacing w:after="120"/>
      </w:pPr>
      <w:r>
        <w:t xml:space="preserve">Safety lessons help children recognize risks and make safe choices in many settings, at school, at home, and at play. </w:t>
      </w:r>
      <w:hyperlink w:history="1" r:id="rIdgduhxxv9bhvca6plvguna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spacing w:after="120"/>
      </w:pPr>
      <w:r>
        <w:t xml:space="preserve">Children learn what influences their food choices and how food connects to feeling well. </w:t>
      </w:r>
      <w:hyperlink w:history="1" r:id="rIdpdfovqmxltshtpozu7j7b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spacing w:after="120"/>
      </w:pPr>
      <w:r>
        <w:t xml:space="preserve">Kids practice communication, empathy, and respect as they explore what healthy relationships look like at school and at play. </w:t>
      </w:r>
      <w:hyperlink w:history="1" r:id="rIdwqwyh68nvjtqiqteosnhi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spacing w:after="120"/>
      </w:pPr>
      <w:r>
        <w:t xml:space="preserve">Children learn how bodies grow and change, and what factors shape that growth. </w:t>
      </w:r>
      <w:hyperlink w:history="1" r:id="rIdc1fsjmwqbbbqr0-7kbows">
        <w:r>
          <w:rPr>
            <w:color w:val="1e3a8a"/>
            <w:u w:val="single"/>
          </w:rPr>
          <w:t xml:space="preserve">See the curriculum</w:t>
        </w:r>
      </w:hyperlink>
      <w:r>
        <w:t xml:space="preserve">.</w:t>
      </w:r>
    </w:p>
    <w:p>
      <w:pPr>
        <w:pStyle w:val="Heading2"/>
      </w:pPr>
      <w:r>
        <w:t xml:space="preserve">The year at a glance</w:t>
      </w:r>
    </w:p>
    <w:p>
      <w:pPr>
        <w:pStyle w:val="Heading3"/>
      </w:pPr>
      <w:r>
        <w:t xml:space="preserve">Grade 2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Organizing idea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Guiding questions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Learning outcomes</w:t>
            </w:r>
          </w:p>
        </w:tc>
      </w:tr>
      <w:tr>
        <w:trPr>
          <w:tblHeader w:val="false"/>
        </w:trPr>
        <w:tc>
          <w:p>
            <w:r>
              <w:t xml:space="preserve">Financial Literacy: Informed financial decision making contributes to the well-being of individuals, groups, and communities.</w:t>
            </w:r>
          </w:p>
        </w:tc>
        <w:tc>
          <w:p>
            <w:r>
              <w:t xml:space="preserve">How does decision making influence money management?</w:t>
            </w:r>
          </w:p>
        </w:tc>
        <w:tc>
          <w:p>
            <w:r>
              <w:t xml:space="preserve">Students relate money and decision making. (</w:t>
            </w:r>
            <w:hyperlink w:history="1" r:id="rIdwhrn7_pxe-4axlpyfsp8u">
              <w:r>
                <w:rPr>
                  <w:color w:val="1e3a8a"/>
                  <w:u w:val="single"/>
                </w:rPr>
                <w:t xml:space="preserve">see the curriculum</w:t>
              </w:r>
            </w:hyperlink>
            <w:r>
              <w:t xml:space="preserve">)</w:t>
            </w:r>
          </w:p>
        </w:tc>
      </w:tr>
      <w:tr>
        <w:trPr>
          <w:tblHeader w:val="false"/>
        </w:trPr>
        <w:tc>
          <w:p>
            <w:r>
              <w:t xml:space="preserve">Active Living: Developing physical literacy through movement and active living supports well-being across a lifespan.</w:t>
            </w:r>
          </w:p>
        </w:tc>
        <w:tc>
          <w:p>
            <w:r>
              <w:t xml:space="preserve">What makes physical activity meaningful?</w:t>
            </w:r>
          </w:p>
        </w:tc>
        <w:tc>
          <w:p>
            <w:r>
              <w:t xml:space="preserve">Students investigate physical activity and relate it to personal experience. (</w:t>
            </w:r>
            <w:hyperlink w:history="1" r:id="rIdtti9ytt7ps8ttv_3ruvjf">
              <w:r>
                <w:rPr>
                  <w:color w:val="1e3a8a"/>
                  <w:u w:val="single"/>
                </w:rPr>
                <w:t xml:space="preserve">see the curriculum</w:t>
              </w:r>
            </w:hyperlink>
            <w:r>
              <w:t xml:space="preserve">)</w:t>
            </w:r>
          </w:p>
        </w:tc>
      </w:tr>
      <w:tr>
        <w:trPr>
          <w:tblHeader w:val="false"/>
        </w:trPr>
        <w:tc>
          <w:p>
            <w:r>
              <w:t xml:space="preserve">Movement Skill Development: Developing physical literacy through movement and active living supports well-being across a lifespan.</w:t>
            </w:r>
          </w:p>
        </w:tc>
        <w:tc>
          <w:p>
            <w:r>
              <w:t xml:space="preserve">How are awareness and movement connected? (this guiding question applies to the first two learning outcomes below); How can teamwork support participation, safety, and enjoyment?</w:t>
            </w:r>
          </w:p>
        </w:tc>
        <w:tc>
          <w:p>
            <w:r>
              <w:t xml:space="preserve">Students refine and apply spatial awareness across a variety of physical activity contexts. (</w:t>
            </w:r>
            <w:hyperlink w:history="1" r:id="rIdbfmmdugoiz6c3xmjqnn3d">
              <w:r>
                <w:rPr>
                  <w:color w:val="1e3a8a"/>
                  <w:u w:val="single"/>
                </w:rPr>
                <w:t xml:space="preserve">see the curriculum</w:t>
              </w:r>
            </w:hyperlink>
            <w:r>
              <w:t xml:space="preserve">); Students modify movement to improve control and efficiency. (</w:t>
            </w:r>
            <w:hyperlink w:history="1" r:id="rId_2otjg292z3ginv-afv5w">
              <w:r>
                <w:rPr>
                  <w:color w:val="1e3a8a"/>
                  <w:u w:val="single"/>
                </w:rPr>
                <w:t xml:space="preserve">see the curriculum</w:t>
              </w:r>
            </w:hyperlink>
            <w:r>
              <w:t xml:space="preserve">); Students demonstrate teamwork and support participation in a variety of physical activities. (</w:t>
            </w:r>
            <w:hyperlink w:history="1" r:id="rIdr56s9eugv1o0feszgnstk">
              <w:r>
                <w:rPr>
                  <w:color w:val="1e3a8a"/>
                  <w:u w:val="single"/>
                </w:rPr>
                <w:t xml:space="preserve">see the curriculum</w:t>
              </w:r>
            </w:hyperlink>
            <w:r>
              <w:t xml:space="preserve">)</w:t>
            </w:r>
          </w:p>
        </w:tc>
      </w:tr>
      <w:tr>
        <w:trPr>
          <w:tblHeader w:val="false"/>
        </w:trPr>
        <w:tc>
          <w:p>
            <w:r>
              <w:t xml:space="preserve">Character Development: Exploration of life opportunities and virtues develops resilience and personal talents and promotes lifelong learning.</w:t>
            </w:r>
          </w:p>
        </w:tc>
        <w:tc>
          <w:p>
            <w:r>
              <w:t xml:space="preserve">How are roles connected to character development?</w:t>
            </w:r>
          </w:p>
        </w:tc>
        <w:tc>
          <w:p>
            <w:r>
              <w:t xml:space="preserve">Students examine roles, responsibilities, and self-regulation and their connections to self-understanding. (</w:t>
            </w:r>
            <w:hyperlink w:history="1" r:id="rIdc9wb1xj5uwfcmdwp1dbia">
              <w:r>
                <w:rPr>
                  <w:color w:val="1e3a8a"/>
                  <w:u w:val="single"/>
                </w:rPr>
                <w:t xml:space="preserve">see the curriculum</w:t>
              </w:r>
            </w:hyperlink>
            <w:r>
              <w:t xml:space="preserve">)</w:t>
            </w:r>
          </w:p>
        </w:tc>
      </w:tr>
      <w:tr>
        <w:trPr>
          <w:tblHeader w:val="false"/>
        </w:trPr>
        <w:tc>
          <w:p>
            <w:r>
              <w:t xml:space="preserve">Safety: A lifetime of optimal well-being is supported by prioritizing health and safety.</w:t>
            </w:r>
          </w:p>
        </w:tc>
        <w:tc>
          <w:p>
            <w:r>
              <w:t xml:space="preserve">How can safety be promoted in various contexts?</w:t>
            </w:r>
          </w:p>
        </w:tc>
        <w:tc>
          <w:p>
            <w:r>
              <w:t xml:space="preserve">Students examine and apply personal safety in a variety of situations. (</w:t>
            </w:r>
            <w:hyperlink w:history="1" r:id="rIdxmwars3ckdcl2twnzatdv">
              <w:r>
                <w:rPr>
                  <w:color w:val="1e3a8a"/>
                  <w:u w:val="single"/>
                </w:rPr>
                <w:t xml:space="preserve">see the curriculum</w:t>
              </w:r>
            </w:hyperlink>
            <w:r>
              <w:t xml:space="preserve">)</w:t>
            </w:r>
          </w:p>
        </w:tc>
      </w:tr>
      <w:tr>
        <w:trPr>
          <w:tblHeader w:val="false"/>
        </w:trPr>
        <w:tc>
          <w:p>
            <w:r>
              <w:t xml:space="preserve">Healthy Eating: A lifetime of optimal well-being and physical wellness is supported by prioritizing nutrition and healthy eating.</w:t>
            </w:r>
          </w:p>
        </w:tc>
        <w:tc>
          <w:p>
            <w:r>
              <w:t xml:space="preserve">How can food impact well-being?</w:t>
            </w:r>
          </w:p>
        </w:tc>
        <w:tc>
          <w:p>
            <w:r>
              <w:t xml:space="preserve">Students examine internal and external factors that influence food choices and decisions. (</w:t>
            </w:r>
            <w:hyperlink w:history="1" r:id="rIdb8ghs1_mjo6ipeo30yyrb">
              <w:r>
                <w:rPr>
                  <w:color w:val="1e3a8a"/>
                  <w:u w:val="single"/>
                </w:rPr>
                <w:t xml:space="preserve">see the curriculum</w:t>
              </w:r>
            </w:hyperlink>
            <w:r>
              <w:t xml:space="preserve">)</w:t>
            </w:r>
          </w:p>
        </w:tc>
      </w:tr>
      <w:tr>
        <w:trPr>
          <w:tblHeader w:val="false"/>
        </w:trPr>
        <w:tc>
          <w:p>
            <w:r>
              <w:t xml:space="preserve">Healthy Relationships: Personal well-being is supported through positive relationships built on communication, collaboration, empathy, and respect.</w:t>
            </w:r>
          </w:p>
        </w:tc>
        <w:tc>
          <w:p>
            <w:r>
              <w:t xml:space="preserve">How can healthy relationships be portrayed in various contexts?</w:t>
            </w:r>
          </w:p>
        </w:tc>
        <w:tc>
          <w:p>
            <w:r>
              <w:t xml:space="preserve">Students connect healthy relationships to a variety of learning and playing contexts. (</w:t>
            </w:r>
            <w:hyperlink w:history="1" r:id="rIdboysrtakla-ezi0mmq0_j">
              <w:r>
                <w:rPr>
                  <w:color w:val="1e3a8a"/>
                  <w:u w:val="single"/>
                </w:rPr>
                <w:t xml:space="preserve">see the curriculum</w:t>
              </w:r>
            </w:hyperlink>
            <w:r>
              <w:t xml:space="preserve">)</w:t>
            </w:r>
          </w:p>
        </w:tc>
      </w:tr>
      <w:tr>
        <w:trPr>
          <w:tblHeader w:val="false"/>
        </w:trPr>
        <w:tc>
          <w:p>
            <w:r>
              <w:t xml:space="preserve">Growth and Development: Decision making that optimizes personal health and well-being is informed by understanding growth and development.</w:t>
            </w:r>
          </w:p>
        </w:tc>
        <w:tc>
          <w:p>
            <w:r>
              <w:t xml:space="preserve">How can growth change over time?</w:t>
            </w:r>
          </w:p>
        </w:tc>
        <w:tc>
          <w:p>
            <w:r>
              <w:t xml:space="preserve">Students examine how growth is affected by variables. (</w:t>
            </w:r>
            <w:hyperlink w:history="1" r:id="rIdw2l28bszri4ow7r8opmjh">
              <w:r>
                <w:rPr>
                  <w:color w:val="1e3a8a"/>
                  <w:u w:val="single"/>
                </w:rPr>
                <w:t xml:space="preserve">see the curriculum</w:t>
              </w:r>
            </w:hyperlink>
            <w:r>
              <w:t xml:space="preserve">)</w:t>
            </w:r>
          </w:p>
        </w:tc>
      </w:tr>
    </w:tbl>
    <w:p/>
    <w:p>
      <w:pPr>
        <w:pStyle w:val="Heading2"/>
      </w:pPr>
      <w:r>
        <w:t xml:space="preserve">Across the year</w:t>
      </w:r>
    </w:p>
    <w:p>
      <w:pPr>
        <w:pStyle w:val="ListParagraph"/>
        <w:numPr>
          <w:ilvl w:val="0"/>
          <w:numId w:val="1"/>
        </w:numPr>
      </w:pPr>
      <w:r>
        <w:t xml:space="preserve">Movement skill development and active living reinforce each other: as children gain control, balance, and spatial awareness, physical activity becomes more enjoyable and meaningful. </w:t>
      </w:r>
      <w:hyperlink w:history="1" r:id="rId3u5hkqaopkw9dvxznt4d3">
        <w:r>
          <w:rPr>
            <w:color w:val="1e3a8a"/>
            <w:u w:val="single"/>
          </w:rPr>
          <w:t xml:space="preserve">See the curriculum</w:t>
        </w:r>
      </w:hyperlink>
      <w:r>
        <w:t xml:space="preserve">: </w:t>
      </w:r>
      <w:hyperlink w:history="1" r:id="rIdhx2wmrtxgvf9_s_yt1btx">
        <w:r>
          <w:rPr>
            <w:color w:val="1e3a8a"/>
            <w:u w:val="single"/>
          </w:rPr>
          <w:t xml:space="preserve">1</w:t>
        </w:r>
      </w:hyperlink>
      <w:r>
        <w:t xml:space="preserve">, </w:t>
      </w:r>
      <w:hyperlink w:history="1" r:id="rIdbhprx2h7h6r5wu4jrmbey">
        <w:r>
          <w:rPr>
            <w:color w:val="1e3a8a"/>
            <w:u w:val="single"/>
          </w:rPr>
          <w:t xml:space="preserve">2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Teamwork threads through movement skills, character development, and healthy relationships, since children practice cooperating, communicating, and respecting others in the same activities where they build physical skills. </w:t>
      </w:r>
      <w:hyperlink w:history="1" r:id="rIdih8qcplktzvkcj4lbtutf">
        <w:r>
          <w:rPr>
            <w:color w:val="1e3a8a"/>
            <w:u w:val="single"/>
          </w:rPr>
          <w:t xml:space="preserve">See the curriculum</w:t>
        </w:r>
      </w:hyperlink>
      <w:r>
        <w:t xml:space="preserve">: </w:t>
      </w:r>
      <w:hyperlink w:history="1" r:id="rIdkzqaq1u0bdujc3ym7ufoq">
        <w:r>
          <w:rPr>
            <w:color w:val="1e3a8a"/>
            <w:u w:val="single"/>
          </w:rPr>
          <w:t xml:space="preserve">1</w:t>
        </w:r>
      </w:hyperlink>
      <w:r>
        <w:t xml:space="preserve">, </w:t>
      </w:r>
      <w:hyperlink w:history="1" r:id="rIdkcfy2sopfuqsodm8ln5jf">
        <w:r>
          <w:rPr>
            <w:color w:val="1e3a8a"/>
            <w:u w:val="single"/>
          </w:rPr>
          <w:t xml:space="preserve">2</w:t>
        </w:r>
      </w:hyperlink>
      <w:r>
        <w:t xml:space="preserve">, </w:t>
      </w:r>
      <w:hyperlink w:history="1" r:id="rIdmwlsxihnjx49gzh3xwgxv">
        <w:r>
          <w:rPr>
            <w:color w:val="1e3a8a"/>
            <w:u w:val="single"/>
          </w:rPr>
          <w:t xml:space="preserve">3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Safety and growth and development connect closely: understanding how bodies change helps children make sense of the safety choices they practice in different situations. </w:t>
      </w:r>
      <w:hyperlink w:history="1" r:id="rId9orffl7h1mdu0sv68k0bt">
        <w:r>
          <w:rPr>
            <w:color w:val="1e3a8a"/>
            <w:u w:val="single"/>
          </w:rPr>
          <w:t xml:space="preserve">See the curriculum</w:t>
        </w:r>
      </w:hyperlink>
      <w:r>
        <w:t xml:space="preserve">: </w:t>
      </w:r>
      <w:hyperlink w:history="1" r:id="rIdod8pqca01zbyhhbko0ctk">
        <w:r>
          <w:rPr>
            <w:color w:val="1e3a8a"/>
            <w:u w:val="single"/>
          </w:rPr>
          <w:t xml:space="preserve">1</w:t>
        </w:r>
      </w:hyperlink>
      <w:r>
        <w:t xml:space="preserve">, </w:t>
      </w:r>
      <w:hyperlink w:history="1" r:id="rId5jzh81egbmuzphujrmnnh">
        <w:r>
          <w:rPr>
            <w:color w:val="1e3a8a"/>
            <w:u w:val="single"/>
          </w:rPr>
          <w:t xml:space="preserve">2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Financial literacy and healthy eating both ask children to notice what shapes their decisions, whether it is money or food, building the same decision-making muscle in different contexts. </w:t>
      </w:r>
      <w:hyperlink w:history="1" r:id="rIdhbvmcgdk4ipmbjwkpqzme">
        <w:r>
          <w:rPr>
            <w:color w:val="1e3a8a"/>
            <w:u w:val="single"/>
          </w:rPr>
          <w:t xml:space="preserve">See the curriculum</w:t>
        </w:r>
      </w:hyperlink>
      <w:r>
        <w:t xml:space="preserve">: </w:t>
      </w:r>
      <w:hyperlink w:history="1" r:id="rIdeveovrjqmpzw5w5x9fqxo">
        <w:r>
          <w:rPr>
            <w:color w:val="1e3a8a"/>
            <w:u w:val="single"/>
          </w:rPr>
          <w:t xml:space="preserve">1</w:t>
        </w:r>
      </w:hyperlink>
      <w:r>
        <w:t xml:space="preserve">, </w:t>
      </w:r>
      <w:hyperlink w:history="1" r:id="rIdwwcwk6chsrooqzxjltzr7">
        <w:r>
          <w:rPr>
            <w:color w:val="1e3a8a"/>
            <w:u w:val="single"/>
          </w:rPr>
          <w:t xml:space="preserve">2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Character development ties the year together, since roles, responsibilities, and self-regulation show up across movement, safety, and relationship learning. </w:t>
      </w:r>
      <w:hyperlink w:history="1" r:id="rIdd1oquwmdesjdfuiopd_si">
        <w:r>
          <w:rPr>
            <w:color w:val="1e3a8a"/>
            <w:u w:val="single"/>
          </w:rPr>
          <w:t xml:space="preserve">See the curriculum</w:t>
        </w:r>
      </w:hyperlink>
      <w:r>
        <w:t xml:space="preserve">: </w:t>
      </w:r>
      <w:hyperlink w:history="1" r:id="rIdhyaz_vann9t8eycof0g1n">
        <w:r>
          <w:rPr>
            <w:color w:val="1e3a8a"/>
            <w:u w:val="single"/>
          </w:rPr>
          <w:t xml:space="preserve">1</w:t>
        </w:r>
      </w:hyperlink>
      <w:r>
        <w:t xml:space="preserve">, </w:t>
      </w:r>
      <w:hyperlink w:history="1" r:id="rIdptb1emn5tr-tkccvatqzk">
        <w:r>
          <w:rPr>
            <w:color w:val="1e3a8a"/>
            <w:u w:val="single"/>
          </w:rPr>
          <w:t xml:space="preserve">2</w:t>
        </w:r>
      </w:hyperlink>
      <w:r>
        <w:t xml:space="preserve">, </w:t>
      </w:r>
      <w:hyperlink w:history="1" r:id="rId4mgiip7ayqaotj8oewxif">
        <w:r>
          <w:rPr>
            <w:color w:val="1e3a8a"/>
            <w:u w:val="single"/>
          </w:rPr>
          <w:t xml:space="preserve">3</w:t>
        </w:r>
      </w:hyperlink>
      <w:r>
        <w:t xml:space="preserve">, </w:t>
      </w:r>
      <w:hyperlink w:history="1" r:id="rIddg82yqe1dr_llwlucchpf">
        <w:r>
          <w:rPr>
            <w:color w:val="1e3a8a"/>
            <w:u w:val="single"/>
          </w:rPr>
          <w:t xml:space="preserve">4</w:t>
        </w:r>
      </w:hyperlink>
      <w:r>
        <w:t xml:space="preserve">.</w:t>
      </w:r>
    </w:p>
    <w:p/>
    <w:p>
      <w:r>
        <w:rPr>
          <w:color w:val="888888"/>
          <w:sz w:val="16"/>
          <w:szCs w:val="16"/>
        </w:rPr>
        <w:t xml:space="preserve">AILI parent overview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9a88qtwr1rgr6jaynrdg" Type="http://schemas.openxmlformats.org/officeDocument/2006/relationships/hyperlink" Target="https://goa-cc-uat-aili-app-001.azurewebsites.net/explore/node/4422" TargetMode="External"/><Relationship Id="rIdmg5afibz6_4rb0ihk9ffm" Type="http://schemas.openxmlformats.org/officeDocument/2006/relationships/hyperlink" Target="https://goa-cc-uat-aili-app-001.azurewebsites.net/explore/node/4273" TargetMode="External"/><Relationship Id="rIdhnsemyrw73q9salvlpgrj" Type="http://schemas.openxmlformats.org/officeDocument/2006/relationships/hyperlink" Target="https://goa-cc-uat-aili-app-001.azurewebsites.net/explore/node/4300" TargetMode="External"/><Relationship Id="rIdbcwhnx7216idy6hzn2mqo" Type="http://schemas.openxmlformats.org/officeDocument/2006/relationships/hyperlink" Target="https://goa-cc-uat-aili-app-001.azurewebsites.net/explore/node/4339" TargetMode="External"/><Relationship Id="rIdgduhxxv9bhvca6plvguna" Type="http://schemas.openxmlformats.org/officeDocument/2006/relationships/hyperlink" Target="https://goa-cc-uat-aili-app-001.azurewebsites.net/explore/node/4366" TargetMode="External"/><Relationship Id="rIdpdfovqmxltshtpozu7j7b" Type="http://schemas.openxmlformats.org/officeDocument/2006/relationships/hyperlink" Target="https://goa-cc-uat-aili-app-001.azurewebsites.net/explore/node/4381" TargetMode="External"/><Relationship Id="rIdwqwyh68nvjtqiqteosnhi" Type="http://schemas.openxmlformats.org/officeDocument/2006/relationships/hyperlink" Target="https://goa-cc-uat-aili-app-001.azurewebsites.net/explore/node/4400" TargetMode="External"/><Relationship Id="rIdc1fsjmwqbbbqr0-7kbows" Type="http://schemas.openxmlformats.org/officeDocument/2006/relationships/hyperlink" Target="https://goa-cc-uat-aili-app-001.azurewebsites.net/explore/node/4411" TargetMode="External"/><Relationship Id="rIdwhrn7_pxe-4axlpyfsp8u" Type="http://schemas.openxmlformats.org/officeDocument/2006/relationships/hyperlink" Target="https://goa-cc-uat-aili-app-001.azurewebsites.net/explore/node/4424" TargetMode="External"/><Relationship Id="rIdtti9ytt7ps8ttv_3ruvjf" Type="http://schemas.openxmlformats.org/officeDocument/2006/relationships/hyperlink" Target="https://goa-cc-uat-aili-app-001.azurewebsites.net/explore/node/4275" TargetMode="External"/><Relationship Id="rIdbfmmdugoiz6c3xmjqnn3d" Type="http://schemas.openxmlformats.org/officeDocument/2006/relationships/hyperlink" Target="https://goa-cc-uat-aili-app-001.azurewebsites.net/explore/node/4302" TargetMode="External"/><Relationship Id="rId_2otjg292z3ginv-afv5w" Type="http://schemas.openxmlformats.org/officeDocument/2006/relationships/hyperlink" Target="https://goa-cc-uat-aili-app-001.azurewebsites.net/explore/node/4316" TargetMode="External"/><Relationship Id="rIdr56s9eugv1o0feszgnstk" Type="http://schemas.openxmlformats.org/officeDocument/2006/relationships/hyperlink" Target="https://goa-cc-uat-aili-app-001.azurewebsites.net/explore/node/4330" TargetMode="External"/><Relationship Id="rIdc9wb1xj5uwfcmdwp1dbia" Type="http://schemas.openxmlformats.org/officeDocument/2006/relationships/hyperlink" Target="https://goa-cc-uat-aili-app-001.azurewebsites.net/explore/node/4341" TargetMode="External"/><Relationship Id="rIdxmwars3ckdcl2twnzatdv" Type="http://schemas.openxmlformats.org/officeDocument/2006/relationships/hyperlink" Target="https://goa-cc-uat-aili-app-001.azurewebsites.net/explore/node/4368" TargetMode="External"/><Relationship Id="rIdb8ghs1_mjo6ipeo30yyrb" Type="http://schemas.openxmlformats.org/officeDocument/2006/relationships/hyperlink" Target="https://goa-cc-uat-aili-app-001.azurewebsites.net/explore/node/4383" TargetMode="External"/><Relationship Id="rIdboysrtakla-ezi0mmq0_j" Type="http://schemas.openxmlformats.org/officeDocument/2006/relationships/hyperlink" Target="https://goa-cc-uat-aili-app-001.azurewebsites.net/explore/node/4402" TargetMode="External"/><Relationship Id="rIdw2l28bszri4ow7r8opmjh" Type="http://schemas.openxmlformats.org/officeDocument/2006/relationships/hyperlink" Target="https://goa-cc-uat-aili-app-001.azurewebsites.net/explore/node/4413" TargetMode="External"/><Relationship Id="rId3u5hkqaopkw9dvxznt4d3" Type="http://schemas.openxmlformats.org/officeDocument/2006/relationships/hyperlink" Target="https://goa-cc-uat-aili-app-001.azurewebsites.net/explore/node/4273" TargetMode="External"/><Relationship Id="rIdhx2wmrtxgvf9_s_yt1btx" Type="http://schemas.openxmlformats.org/officeDocument/2006/relationships/hyperlink" Target="https://goa-cc-uat-aili-app-001.azurewebsites.net/explore/node/4273" TargetMode="External"/><Relationship Id="rIdbhprx2h7h6r5wu4jrmbey" Type="http://schemas.openxmlformats.org/officeDocument/2006/relationships/hyperlink" Target="https://goa-cc-uat-aili-app-001.azurewebsites.net/explore/node/4300" TargetMode="External"/><Relationship Id="rIdih8qcplktzvkcj4lbtutf" Type="http://schemas.openxmlformats.org/officeDocument/2006/relationships/hyperlink" Target="https://goa-cc-uat-aili-app-001.azurewebsites.net/explore/node/4300" TargetMode="External"/><Relationship Id="rIdkzqaq1u0bdujc3ym7ufoq" Type="http://schemas.openxmlformats.org/officeDocument/2006/relationships/hyperlink" Target="https://goa-cc-uat-aili-app-001.azurewebsites.net/explore/node/4300" TargetMode="External"/><Relationship Id="rIdkcfy2sopfuqsodm8ln5jf" Type="http://schemas.openxmlformats.org/officeDocument/2006/relationships/hyperlink" Target="https://goa-cc-uat-aili-app-001.azurewebsites.net/explore/node/4339" TargetMode="External"/><Relationship Id="rIdmwlsxihnjx49gzh3xwgxv" Type="http://schemas.openxmlformats.org/officeDocument/2006/relationships/hyperlink" Target="https://goa-cc-uat-aili-app-001.azurewebsites.net/explore/node/4400" TargetMode="External"/><Relationship Id="rId9orffl7h1mdu0sv68k0bt" Type="http://schemas.openxmlformats.org/officeDocument/2006/relationships/hyperlink" Target="https://goa-cc-uat-aili-app-001.azurewebsites.net/explore/node/4366" TargetMode="External"/><Relationship Id="rIdod8pqca01zbyhhbko0ctk" Type="http://schemas.openxmlformats.org/officeDocument/2006/relationships/hyperlink" Target="https://goa-cc-uat-aili-app-001.azurewebsites.net/explore/node/4366" TargetMode="External"/><Relationship Id="rId5jzh81egbmuzphujrmnnh" Type="http://schemas.openxmlformats.org/officeDocument/2006/relationships/hyperlink" Target="https://goa-cc-uat-aili-app-001.azurewebsites.net/explore/node/4411" TargetMode="External"/><Relationship Id="rIdhbvmcgdk4ipmbjwkpqzme" Type="http://schemas.openxmlformats.org/officeDocument/2006/relationships/hyperlink" Target="https://goa-cc-uat-aili-app-001.azurewebsites.net/explore/node/4422" TargetMode="External"/><Relationship Id="rIdeveovrjqmpzw5w5x9fqxo" Type="http://schemas.openxmlformats.org/officeDocument/2006/relationships/hyperlink" Target="https://goa-cc-uat-aili-app-001.azurewebsites.net/explore/node/4422" TargetMode="External"/><Relationship Id="rIdwwcwk6chsrooqzxjltzr7" Type="http://schemas.openxmlformats.org/officeDocument/2006/relationships/hyperlink" Target="https://goa-cc-uat-aili-app-001.azurewebsites.net/explore/node/4381" TargetMode="External"/><Relationship Id="rIdd1oquwmdesjdfuiopd_si" Type="http://schemas.openxmlformats.org/officeDocument/2006/relationships/hyperlink" Target="https://goa-cc-uat-aili-app-001.azurewebsites.net/explore/node/4339" TargetMode="External"/><Relationship Id="rIdhyaz_vann9t8eycof0g1n" Type="http://schemas.openxmlformats.org/officeDocument/2006/relationships/hyperlink" Target="https://goa-cc-uat-aili-app-001.azurewebsites.net/explore/node/4339" TargetMode="External"/><Relationship Id="rIdptb1emn5tr-tkccvatqzk" Type="http://schemas.openxmlformats.org/officeDocument/2006/relationships/hyperlink" Target="https://goa-cc-uat-aili-app-001.azurewebsites.net/explore/node/4300" TargetMode="External"/><Relationship Id="rId4mgiip7ayqaotj8oewxif" Type="http://schemas.openxmlformats.org/officeDocument/2006/relationships/hyperlink" Target="https://goa-cc-uat-aili-app-001.azurewebsites.net/explore/node/4366" TargetMode="External"/><Relationship Id="rIddg82yqe1dr_llwlucchpf" Type="http://schemas.openxmlformats.org/officeDocument/2006/relationships/hyperlink" Target="https://goa-cc-uat-aili-app-001.azurewebsites.net/explore/node/4400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2 Physical Education and Wellness: Year at a Glance</dc:title>
  <dc:creator>AILI</dc:creator>
  <cp:lastModifiedBy>Un-named</cp:lastModifiedBy>
  <cp:revision>1</cp:revision>
  <dcterms:created xsi:type="dcterms:W3CDTF">2026-10-04T07:17:57.490Z</dcterms:created>
  <dcterms:modified xsi:type="dcterms:W3CDTF">2026-10-04T07:17:57.490Z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