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Personal Choices and Well-Being Maze</w:t>
      </w:r>
    </w:p>
    <w:p>
      <w:pPr>
        <w:spacing w:after="120"/>
      </w:pPr>
      <w:r>
        <w:t xml:space="preserve">Students in Grade 10 Career and Life Management examine how personal choices shape well-being across multiple dimensions. This maze game reinforces the understanding that well-being is holistic and dynamic, requiring balance among emotional, psychological, intellectual, social, spiritual and physical factors (</w:t>
      </w:r>
      <w:hyperlink w:history="1" r:id="rIdextjovirdzqclncn0iowq">
        <w:r>
          <w:rPr>
            <w:color w:val="1e3a8a"/>
            <w:u w:val="single"/>
          </w:rPr>
          <w:t xml:space="preserve">Topic</w:t>
        </w:r>
      </w:hyperlink>
      <w:r>
        <w:t xml:space="preserve">). By navigating the path from entrance to exit, you practise the decision-making process central to managing personal health and recognizing how choices interconnect (</w:t>
      </w:r>
      <w:hyperlink w:history="1" r:id="rId18ujduwc3prenru712fgv">
        <w:r>
          <w:rPr>
            <w:color w:val="1e3a8a"/>
            <w:u w:val="single"/>
          </w:rPr>
          <w:t xml:space="preserve">Outcome</w:t>
        </w:r>
      </w:hyperlink>
      <w:r>
        <w:t xml:space="preserve">, </w:t>
      </w:r>
      <w:hyperlink w:history="1" r:id="rId-mvvsyswravdqnojihqho">
        <w:r>
          <w:rPr>
            <w:color w:val="1e3a8a"/>
            <w:u w:val="single"/>
          </w:rPr>
          <w:t xml:space="preserve">Outcome</w:t>
        </w:r>
      </w:hyperlink>
      <w:r>
        <w:t xml:space="preserve">).</w:t>
      </w:r>
    </w:p>
    <w:p>
      <w:pPr>
        <w:pStyle w:val="Heading2"/>
      </w:pPr>
      <w:r>
        <w:t xml:space="preserve">How to play</w:t>
      </w:r>
    </w:p>
    <w:p>
      <w:pPr>
        <w:spacing w:after="120"/>
      </w:pPr>
      <w:r>
        <w:t xml:space="preserve">Start at the marked entrance. Draw one continuous path through the open corridors to reach the marked exit. You may move up, down, left or right through open spaces, but you cannot cross a wall. Do not lift your pencil or retrace your steps. When you reach the exit, check your path against the answer key to confirm you found the correct route.</w:t>
      </w:r>
    </w:p>
    <w:p>
      <w:pPr>
        <w:pStyle w:val="Heading2"/>
      </w:pPr>
      <w:r>
        <w:t xml:space="preserve">The maze</w:t>
      </w:r>
    </w:p>
    <w:p>
      <w:pPr>
        <w:jc w:val="center"/>
      </w:pPr>
      <w:r>
        <w:drawing>
          <wp:inline distT="0" distB="0" distL="0" distR="0">
            <wp:extent cx="4381500" cy="4495800"/>
            <wp:effectExtent t="0" r="0" b="0" l="0"/>
            <wp:docPr id="1" name="figure" descr="Maze" title="Maz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4381500" cy="4495800"/>
                    </a:xfrm>
                    <a:prstGeom prst="rect">
                      <a:avLst/>
                    </a:prstGeom>
                  </pic:spPr>
                </pic:pic>
              </a:graphicData>
            </a:graphic>
          </wp:inline>
        </w:drawing>
      </w:r>
    </w:p>
    <w:p>
      <w:pPr>
        <w:pStyle w:val="Heading2"/>
      </w:pPr>
      <w:r>
        <w:t xml:space="preserve">Answer key</w:t>
      </w:r>
    </w:p>
    <w:p>
      <w:pPr>
        <w:jc w:val="center"/>
      </w:pPr>
      <w:r>
        <w:drawing>
          <wp:inline distT="0" distB="0" distL="0" distR="0">
            <wp:extent cx="4381500" cy="4438650"/>
            <wp:effectExtent t="0" r="0" b="0" l="0"/>
            <wp:docPr id="1" name="figure" descr="Maze solution" title="Maze solu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4381500" cy="4438650"/>
                    </a:xfrm>
                    <a:prstGeom prst="rect">
                      <a:avLst/>
                    </a:prstGeom>
                  </pic:spPr>
                </pic:pic>
              </a:graphicData>
            </a:graphic>
          </wp:inline>
        </w:drawing>
      </w:r>
    </w:p>
    <w:p>
      <w:pPr>
        <w:spacing w:after="120"/>
      </w:pPr>
      <w:r>
        <w:t xml:space="preserve">Path: right 1, down 1, left 1, down 1, right 2, up 1, right 1, up 1, right 3, down 1, right 2, down 1, left 1, down 1, left 2, down 3, right 1, up 1, right 1, down 2, left 1, down 3, right 2, down 1, right 1, down 3, right 1, up 1, right 1, up 1, left 1, up 2, right 1, down 1, right 3, up 1, right 1, down 3, left 1, down 1, left 1, up 2, left 1, down 2, left 1, down 1, right 4</w:t>
      </w:r>
    </w:p>
    <w:p/>
    <w:p>
      <w:r>
        <w:rPr>
          <w:color w:val="888888"/>
          <w:sz w:val="16"/>
          <w:szCs w:val="16"/>
        </w:rPr>
        <w:t xml:space="preserve">AILI game · en · claude-haiku-4-5-20251001 · 2026-09-17</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pPr>
      <w:spacing w:after="240"/>
    </w:pPr>
    <w:rPr>
      <w:b/>
      <w:bCs/>
      <w:color w:val="1e3a8a"/>
      <w:sz w:val="48"/>
      <w:szCs w:val="48"/>
    </w:rPr>
  </w:style>
  <w:style w:type="paragraph" w:styleId="Heading1">
    <w:name w:val="Heading 1"/>
    <w:basedOn w:val="Normal"/>
    <w:next w:val="Normal"/>
    <w:qFormat/>
    <w:pPr>
      <w:spacing w:after="120" w:before="280"/>
    </w:pPr>
    <w:rPr>
      <w:b/>
      <w:bCs/>
      <w:color w:val="1e3a8a"/>
      <w:sz w:val="32"/>
      <w:szCs w:val="32"/>
    </w:rPr>
  </w:style>
  <w:style w:type="paragraph" w:styleId="Heading2">
    <w:name w:val="Heading 2"/>
    <w:basedOn w:val="Normal"/>
    <w:next w:val="Normal"/>
    <w:qFormat/>
    <w:pPr>
      <w:spacing w:after="80" w:before="200"/>
    </w:pPr>
    <w:rPr>
      <w:b/>
      <w:bCs/>
      <w:color w:val="1e3a8a"/>
      <w:sz w:val="26"/>
      <w:szCs w:val="26"/>
    </w:rPr>
  </w:style>
  <w:style w:type="paragraph" w:styleId="Heading3">
    <w:name w:val="Heading 3"/>
    <w:basedOn w:val="Normal"/>
    <w:next w:val="Normal"/>
    <w:qFormat/>
    <w:pPr>
      <w:spacing w:after="60" w:before="160"/>
    </w:pPr>
    <w:rPr>
      <w:b/>
      <w:bCs/>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extjovirdzqclncn0iowq" Type="http://schemas.openxmlformats.org/officeDocument/2006/relationships/hyperlink" Target="https://goa-cc-uat-aili-app-001.azurewebsites.net/explore/node/15368" TargetMode="External"/><Relationship Id="rId18ujduwc3prenru712fgv" Type="http://schemas.openxmlformats.org/officeDocument/2006/relationships/hyperlink" Target="https://goa-cc-uat-aili-app-001.azurewebsites.net/explore/node/15369" TargetMode="External"/><Relationship Id="rId-mvvsyswravdqnojihqho" Type="http://schemas.openxmlformats.org/officeDocument/2006/relationships/hyperlink" Target="https://goa-cc-uat-aili-app-001.azurewebsites.net/explore/node/15370" TargetMode="External"/><Relationship Id="rId7" Type="http://schemas.openxmlformats.org/officeDocument/2006/relationships/image" Target="media/585d6ff0e37050c8b2c4fc2544c03557a0de86bf.png"/><Relationship Id="rId8" Type="http://schemas.openxmlformats.org/officeDocument/2006/relationships/image" Target="media/03e6afbfc6e04ad3611fd978d5ee235439785fd0.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Choices and Well-Being Maze</dc:title>
  <dc:creator>AILI</dc:creator>
  <cp:lastModifiedBy>Un-named</cp:lastModifiedBy>
  <cp:revision>1</cp:revision>
  <dcterms:created xsi:type="dcterms:W3CDTF">2026-10-04T07:17:36.537Z</dcterms:created>
  <dcterms:modified xsi:type="dcterms:W3CDTF">2026-10-04T07:17:36.537Z</dcterms:modified>
</cp:coreProperties>
</file>

<file path=docProps/custom.xml><?xml version="1.0" encoding="utf-8"?>
<Properties xmlns="http://schemas.openxmlformats.org/officeDocument/2006/custom-properties" xmlns:vt="http://schemas.openxmlformats.org/officeDocument/2006/docPropsVTypes"/>
</file>