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Cherche les mots de la lecture</w:t>
      </w:r>
    </w:p>
    <w:p>
      <w:pPr>
        <w:spacing w:after="120"/>
      </w:pPr>
      <w:r>
        <w:t xml:space="preserve">Quand tu lis, tu utilises plusieurs stratégies pour bien comprendre. Tu peux faire des inférences pour aller plus loin que les mots écrits (</w:t>
      </w:r>
      <w:hyperlink w:history="1" r:id="rIdsoz3dqhcgkpz4mtiahu1b">
        <w:r>
          <w:rPr>
            <w:color w:val="1e3a8a"/>
            <w:u w:val="single"/>
          </w:rPr>
          <w:t xml:space="preserve">Knowledge</w:t>
        </w:r>
      </w:hyperlink>
      <w:r>
        <w:t xml:space="preserve">). Tu lis avec fluidité et intonation pour mieux saisir le sens (</w:t>
      </w:r>
      <w:hyperlink w:history="1" r:id="rIdgmwupcplulpnl0vsfbcop">
        <w:r>
          <w:rPr>
            <w:color w:val="1e3a8a"/>
            <w:u w:val="single"/>
          </w:rPr>
          <w:t xml:space="preserve">Knowledge</w:t>
        </w:r>
      </w:hyperlink>
      <w:r>
        <w:t xml:space="preserve">). Tu repères la structure des textes, comme le dénouement d'une histoire ou les parties d'un texte descriptif (</w:t>
      </w:r>
      <w:hyperlink w:history="1" r:id="rIdusim5m2mhe609dntzqm-j">
        <w:r>
          <w:rPr>
            <w:color w:val="1e3a8a"/>
            <w:u w:val="single"/>
          </w:rPr>
          <w:t xml:space="preserve">Knowledge</w:t>
        </w:r>
      </w:hyperlink>
      <w:r>
        <w:t xml:space="preserve">). Tu peux aussi relire pour vérifier ta compréhension (</w:t>
      </w:r>
      <w:hyperlink w:history="1" r:id="rIdif5uc46leep9pcb1u5sev">
        <w:r>
          <w:rPr>
            <w:color w:val="1e3a8a"/>
            <w:u w:val="single"/>
          </w:rPr>
          <w:t xml:space="preserve">Knowledge</w:t>
        </w:r>
      </w:hyperlink>
      <w:r>
        <w:t xml:space="preserve">). Ce jeu te fait découvrir huit mots importants qui t'aident à lire et à comprendre.</w:t>
      </w:r>
    </w:p>
    <w:p>
      <w:pPr>
        <w:pStyle w:val="Heading2"/>
      </w:pPr>
      <w:r>
        <w:t xml:space="preserve">Comment jouer</w:t>
      </w:r>
    </w:p>
    <w:p>
      <w:pPr>
        <w:pStyle w:val="ListParagraph"/>
        <w:numPr>
          <w:ilvl w:val="0"/>
          <w:numId w:val="1"/>
        </w:numPr>
      </w:pPr>
      <w:r>
        <w:t xml:space="preserve">Lis les textes avec fluidité et expression. Les composantes de la lecture expressive comprennent les pauses, l'intonation, le rythme et la liaison.</w:t>
      </w:r>
    </w:p>
    <w:p>
      <w:pPr>
        <w:pStyle w:val="ListParagraph"/>
        <w:numPr>
          <w:ilvl w:val="0"/>
          <w:numId w:val="1"/>
        </w:numPr>
      </w:pPr>
      <w:r>
        <w:t xml:space="preserve">Pratique l'autocorrection des méprises faites lors de la lecture à voix haute ou silencieuse.</w:t>
      </w:r>
    </w:p>
    <w:p>
      <w:pPr>
        <w:pStyle w:val="ListParagraph"/>
        <w:numPr>
          <w:ilvl w:val="0"/>
          <w:numId w:val="1"/>
        </w:numPr>
      </w:pPr>
      <w:r>
        <w:t xml:space="preserve">Associe les caractéristiques et les structures propres à des types de textes littéraires et courants.</w:t>
      </w:r>
    </w:p>
    <w:p>
      <w:pPr>
        <w:pStyle w:val="Heading2"/>
      </w:pPr>
      <w:r>
        <w:t xml:space="preserve">Mots à trouver</w:t>
      </w:r>
    </w:p>
    <w:p>
      <w:pPr>
        <w:pStyle w:val="ListParagraph"/>
        <w:numPr>
          <w:ilvl w:val="0"/>
          <w:numId w:val="1"/>
        </w:numPr>
      </w:pPr>
      <w:r>
        <w:t xml:space="preserve">CONTEXTE</w:t>
      </w:r>
    </w:p>
    <w:p>
      <w:pPr>
        <w:pStyle w:val="ListParagraph"/>
        <w:numPr>
          <w:ilvl w:val="0"/>
          <w:numId w:val="1"/>
        </w:numPr>
      </w:pPr>
      <w:r>
        <w:t xml:space="preserve">DENOUEMENT</w:t>
      </w:r>
    </w:p>
    <w:p>
      <w:pPr>
        <w:pStyle w:val="ListParagraph"/>
        <w:numPr>
          <w:ilvl w:val="0"/>
          <w:numId w:val="1"/>
        </w:numPr>
      </w:pPr>
      <w:r>
        <w:t xml:space="preserve">DESCRIPTIF</w:t>
      </w:r>
    </w:p>
    <w:p>
      <w:pPr>
        <w:pStyle w:val="ListParagraph"/>
        <w:numPr>
          <w:ilvl w:val="0"/>
          <w:numId w:val="1"/>
        </w:numPr>
      </w:pPr>
      <w:r>
        <w:t xml:space="preserve">FLUIDITE</w:t>
      </w:r>
    </w:p>
    <w:p>
      <w:pPr>
        <w:pStyle w:val="ListParagraph"/>
        <w:numPr>
          <w:ilvl w:val="0"/>
          <w:numId w:val="1"/>
        </w:numPr>
      </w:pPr>
      <w:r>
        <w:t xml:space="preserve">INFERENCE</w:t>
      </w:r>
    </w:p>
    <w:p>
      <w:pPr>
        <w:pStyle w:val="ListParagraph"/>
        <w:numPr>
          <w:ilvl w:val="0"/>
          <w:numId w:val="1"/>
        </w:numPr>
      </w:pPr>
      <w:r>
        <w:t xml:space="preserve">INTONATION</w:t>
      </w:r>
    </w:p>
    <w:p>
      <w:pPr>
        <w:pStyle w:val="ListParagraph"/>
        <w:numPr>
          <w:ilvl w:val="0"/>
          <w:numId w:val="1"/>
        </w:numPr>
      </w:pPr>
      <w:r>
        <w:t xml:space="preserve">NARRATIF</w:t>
      </w:r>
    </w:p>
    <w:p>
      <w:pPr>
        <w:pStyle w:val="ListParagraph"/>
        <w:numPr>
          <w:ilvl w:val="0"/>
          <w:numId w:val="1"/>
        </w:numPr>
      </w:pPr>
      <w:r>
        <w:t xml:space="preserve">RELECTURE</w:t>
      </w:r>
    </w:p>
    <w:p>
      <w:pPr>
        <w:pStyle w:val="Heading2"/>
      </w:pPr>
      <w:r>
        <w:t xml:space="preserve">Grille de mots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</w:tr>
    </w:tbl>
    <w:p/>
    <w:p>
      <w:pPr>
        <w:pStyle w:val="Heading2"/>
      </w:pPr>
      <w:r>
        <w:t xml:space="preserve">Clé des réponses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CONTEXTE</w:t>
      </w:r>
      <w:r>
        <w:t xml:space="preserve">: row 5, column 4,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DENOUEMENT</w:t>
      </w:r>
      <w:r>
        <w:t xml:space="preserve">: row 2, column 8,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DESCRIPTIF</w:t>
      </w:r>
      <w:r>
        <w:t xml:space="preserve">: row 1, column 6,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FLUIDITE</w:t>
      </w:r>
      <w:r>
        <w:t xml:space="preserve">: row 1,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INFERENCE</w:t>
      </w:r>
      <w:r>
        <w:t xml:space="preserve">: row 12, column 1,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INTONATION</w:t>
      </w:r>
      <w:r>
        <w:t xml:space="preserve">: row 11,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NARRATIF</w:t>
      </w:r>
      <w:r>
        <w:t xml:space="preserve">: row 1, column 10,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RELECTURE</w:t>
      </w:r>
      <w:r>
        <w:t xml:space="preserve">: row 2, column 1, down</w:t>
      </w:r>
    </w:p>
    <w:p/>
    <w:p>
      <w:r>
        <w:rPr>
          <w:color w:val="888888"/>
          <w:sz w:val="16"/>
          <w:szCs w:val="16"/>
        </w:rPr>
        <w:t xml:space="preserve">AILI game · fr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oz3dqhcgkpz4mtiahu1b" Type="http://schemas.openxmlformats.org/officeDocument/2006/relationships/hyperlink" Target="https://goa-cc-uat-aili-app-001.azurewebsites.net/explore/node/11884" TargetMode="External"/><Relationship Id="rIdgmwupcplulpnl0vsfbcop" Type="http://schemas.openxmlformats.org/officeDocument/2006/relationships/hyperlink" Target="https://goa-cc-uat-aili-app-001.azurewebsites.net/explore/node/11877" TargetMode="External"/><Relationship Id="rIdusim5m2mhe609dntzqm-j" Type="http://schemas.openxmlformats.org/officeDocument/2006/relationships/hyperlink" Target="https://goa-cc-uat-aili-app-001.azurewebsites.net/explore/node/11825" TargetMode="External"/><Relationship Id="rIdif5uc46leep9pcb1u5sev" Type="http://schemas.openxmlformats.org/officeDocument/2006/relationships/hyperlink" Target="https://goa-cc-uat-aili-app-001.azurewebsites.net/explore/node/11884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Cherche les mots de la lecture</dc:title>
  <dc:creator>AILI</dc:creator>
  <cp:lastModifiedBy>Un-named</cp:lastModifiedBy>
  <cp:revision>1</cp:revision>
  <dcterms:created xsi:type="dcterms:W3CDTF">2026-10-04T04:43:48.560Z</dcterms:created>
  <dcterms:modified xsi:type="dcterms:W3CDTF">2026-10-04T04:43:48.560Z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