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Calorimetry Lab Report Marking Guide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conduct a calorimetry investigation and write a lab report that determines the molar enthalpy of a reaction from their data.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This task assesses the following outcomes from Chemistry 30, Unit A: Thermochemical Changes.</w:t>
      </w:r>
    </w:p>
    <w:p>
      <w:pPr>
        <w:pStyle w:val="ListParagraph"/>
        <w:numPr>
          <w:ilvl w:val="0"/>
          <w:numId w:val="1"/>
        </w:numPr>
      </w:pPr>
      <w:r>
        <w:t xml:space="preserve">30-A1.1k: recall the application of Q = mcΔt to the analysis of heat transfer (</w:t>
      </w:r>
      <w:hyperlink w:history="1" r:id="rIdjspxq0vrio5xarv3kbxx3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30-A1.2s: perform calorimetry experiments to determine the molar enthalpy change of chemical reactions, using thermometers or temperature probes appropriately (</w:t>
      </w:r>
      <w:hyperlink w:history="1" r:id="rId6yyvedvz8raww8detoss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30-A1.3k: define enthalpy and molar enthalpy for chemical reactions (</w:t>
      </w:r>
      <w:hyperlink w:history="1" r:id="rIdmik7ojrtfmt2x6cu0wm03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30-A1.8k: use calorimetry data to determine the enthalpy changes in chemical reactions (</w:t>
      </w:r>
      <w:hyperlink w:history="1" r:id="rIdr7xn5monrem0kyz2s05yv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30-A1.5k: use and interpret ΔH notation to communicate and calculate energy changes in chemical reactions (</w:t>
      </w:r>
      <w:hyperlink w:history="1" r:id="rIdcve8sdqzut_5x2u10j4bf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30-A1.4s: use appropriate SI units, fundamental and derived units, and significant digits, and use appropriate numeric, symbolic, graphical and linguistic modes of representation to communicate results (</w:t>
      </w:r>
      <w:hyperlink w:history="1" r:id="rIdm5maef5epcdkbfqjldoxw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30-A1.3s: analyze data and apply mathematical and conceptual models to develop and assess possible solutions (</w:t>
      </w:r>
      <w:hyperlink w:history="1" r:id="rIdg4aj2glz8yjwccjyfjwv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t xml:space="preserve">Experimental procedure and data collection (</w:t>
            </w:r>
            <w:hyperlink w:history="1" r:id="rIdq1vsuztakdc5eexakpmzs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</w:t>
            </w:r>
          </w:p>
        </w:tc>
        <w:tc>
          <w:p>
            <w:r>
              <w:t xml:space="preserve">Records temperature readings inconsistently; procedure steps missing or out of order.</w:t>
            </w:r>
          </w:p>
        </w:tc>
        <w:tc>
          <w:p>
            <w:r>
              <w:t xml:space="preserve">Records temperature data with some gaps; procedure described but lacks detail on technique.</w:t>
            </w:r>
          </w:p>
        </w:tc>
        <w:tc>
          <w:p>
            <w:r>
              <w:t xml:space="preserve">Records temperature data accurately using thermometer or probe correctly; procedure clearly described.</w:t>
            </w:r>
          </w:p>
        </w:tc>
        <w:tc>
          <w:p>
            <w:r>
              <w:t xml:space="preserve">Records precise, consistent temperature data; procedure justifies technique choices and controls for heat loss.</w:t>
            </w:r>
          </w:p>
        </w:tc>
      </w:tr>
      <w:tr>
        <w:trPr>
          <w:tblHeader w:val="false"/>
        </w:trPr>
        <w:tc>
          <w:p>
            <w:r>
              <w:t xml:space="preserve">Calculation of heat transfer and molar enthalpy (</w:t>
            </w:r>
            <w:hyperlink w:history="1" r:id="rIdp1itk71vuowob6cvpwpmz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kistywvvvvp3u2jrmyxha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qswzpqaouvwd9yimfeptz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</w:t>
            </w:r>
          </w:p>
        </w:tc>
        <w:tc>
          <w:p>
            <w:r>
              <w:t xml:space="preserve">Applies Q = mcΔt incorrectly; molar enthalpy not calculated or calculated with major errors.</w:t>
            </w:r>
          </w:p>
        </w:tc>
        <w:tc>
          <w:p>
            <w:r>
              <w:t xml:space="preserve">Applies Q = mcΔt with minor errors; molar enthalpy calculated but mass-to-mole conversion is flawed.</w:t>
            </w:r>
          </w:p>
        </w:tc>
        <w:tc>
          <w:p>
            <w:r>
              <w:t xml:space="preserve">Applies Q = mcΔt correctly; calculates molar enthalpy accurately from calorimetry data.</w:t>
            </w:r>
          </w:p>
        </w:tc>
        <w:tc>
          <w:p>
            <w:r>
              <w:t xml:space="preserve">Applies Q = mcΔt and molar enthalpy calculations correctly, showing all steps and correct unit conversions throughout.</w:t>
            </w:r>
          </w:p>
        </w:tc>
      </w:tr>
      <w:tr>
        <w:trPr>
          <w:tblHeader w:val="false"/>
        </w:trPr>
        <w:tc>
          <w:p>
            <w:r>
              <w:t xml:space="preserve">Communication: units, significant digits, and ΔH notation (</w:t>
            </w:r>
            <w:hyperlink w:history="1" r:id="rIddkb-jpohgnp7afc0valxp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hspa0cjubzh36vcpujshn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</w:t>
            </w:r>
          </w:p>
        </w:tc>
        <w:tc>
          <w:p>
            <w:r>
              <w:t xml:space="preserve">Omits units or significant digits; ΔH notation missing or used incorrectly.</w:t>
            </w:r>
          </w:p>
        </w:tc>
        <w:tc>
          <w:p>
            <w:r>
              <w:t xml:space="preserve">Uses units and significant digits inconsistently; ΔH notation present but applied with errors.</w:t>
            </w:r>
          </w:p>
        </w:tc>
        <w:tc>
          <w:p>
            <w:r>
              <w:t xml:space="preserve">Uses correct SI units and significant digits; applies ΔH notation correctly to represent energy change.</w:t>
            </w:r>
          </w:p>
        </w:tc>
        <w:tc>
          <w:p>
            <w:r>
              <w:t xml:space="preserve">Uses correct units, significant digits, and ΔH notation throughout, with clear tables and graphs supporting the data.</w:t>
            </w:r>
          </w:p>
        </w:tc>
      </w:tr>
      <w:tr>
        <w:trPr>
          <w:tblHeader w:val="false"/>
        </w:trPr>
        <w:tc>
          <w:p>
            <w:r>
              <w:t xml:space="preserve">Analysis and interpretation of results (</w:t>
            </w:r>
            <w:hyperlink w:history="1" r:id="rIdhxxefakkyuxwiwxx8xgb2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dhzxxbzx7o_8qxdvz0dus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)</w:t>
            </w:r>
          </w:p>
        </w:tc>
        <w:tc>
          <w:p>
            <w:r>
              <w:t xml:space="preserve">Provides no discussion of accuracy or sources of error; conclusion unsupported by data.</w:t>
            </w:r>
          </w:p>
        </w:tc>
        <w:tc>
          <w:p>
            <w:r>
              <w:t xml:space="preserve">Identifies one source of error without explaining its effect on results.</w:t>
            </w:r>
          </w:p>
        </w:tc>
        <w:tc>
          <w:p>
            <w:r>
              <w:t xml:space="preserve">Identifies sources of error and explains their effect on the calculated molar enthalpy.</w:t>
            </w:r>
          </w:p>
        </w:tc>
        <w:tc>
          <w:p>
            <w:r>
              <w:t xml:space="preserve">Evaluates sources of error, compares result to an accepted value, and explains discrepancies with reference to experimental limitations.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of the four criteria a level: Beginning (1 point), Developing (2 points), Proficient (3 points), or Exemplary (4 points). Add the four scores for a total out of 16.</w:t>
      </w:r>
    </w:p>
    <w:p>
      <w:pPr>
        <w:pStyle w:val="ListParagraph"/>
        <w:numPr>
          <w:ilvl w:val="0"/>
          <w:numId w:val="1"/>
        </w:numPr>
      </w:pPr>
      <w:r>
        <w:t xml:space="preserve">4 to 7: Beginning</w:t>
      </w:r>
    </w:p>
    <w:p>
      <w:pPr>
        <w:pStyle w:val="ListParagraph"/>
        <w:numPr>
          <w:ilvl w:val="0"/>
          <w:numId w:val="1"/>
        </w:numPr>
      </w:pPr>
      <w:r>
        <w:t xml:space="preserve">8 to 10: Developing</w:t>
      </w:r>
    </w:p>
    <w:p>
      <w:pPr>
        <w:pStyle w:val="ListParagraph"/>
        <w:numPr>
          <w:ilvl w:val="0"/>
          <w:numId w:val="1"/>
        </w:numPr>
      </w:pPr>
      <w:r>
        <w:t xml:space="preserve">11 to 13: Proficient</w:t>
      </w:r>
    </w:p>
    <w:p>
      <w:pPr>
        <w:pStyle w:val="ListParagraph"/>
        <w:numPr>
          <w:ilvl w:val="0"/>
          <w:numId w:val="1"/>
        </w:numPr>
      </w:pPr>
      <w:r>
        <w:t xml:space="preserve">14 to 16: Exemplary</w:t>
      </w:r>
    </w:p>
    <w:p>
      <w:pPr>
        <w:spacing w:after="120"/>
      </w:pPr>
      <w:r>
        <w:t xml:space="preserve">Report the overall level to the student along with the total score, so the score and the descriptive level match.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t xml:space="preserve">Check that the reported molar enthalpy carries the correct sign and matches whether the reaction is endothermic or exothermic before scoring the calculation criterion.</w:t>
      </w:r>
    </w:p>
    <w:p>
      <w:pPr>
        <w:pStyle w:val="ListParagraph"/>
        <w:numPr>
          <w:ilvl w:val="0"/>
          <w:numId w:val="1"/>
        </w:numPr>
      </w:pPr>
      <w:r>
        <w:t xml:space="preserve">Apply the significant digits standard consistently across all lab reports in the class, since calorimetry data often carries only two or three significant figures.</w:t>
      </w:r>
    </w:p>
    <w:p>
      <w:pPr>
        <w:pStyle w:val="ListParagraph"/>
        <w:numPr>
          <w:ilvl w:val="0"/>
          <w:numId w:val="1"/>
        </w:numPr>
      </w:pPr>
      <w:r>
        <w:t xml:space="preserve">When a student's error analysis blames only human error, hold the analysis criterion at Developing rather than Proficient. Look for reference to heat loss to the surroundings or calorimeter heat capacity.</w:t>
      </w:r>
    </w:p>
    <w:p>
      <w:pPr>
        <w:pStyle w:val="ListParagraph"/>
        <w:numPr>
          <w:ilvl w:val="0"/>
          <w:numId w:val="1"/>
        </w:numPr>
      </w:pPr>
      <w:r>
        <w:t xml:space="preserve">Score the procedure and calculation criteria independently. A student can execute the experiment well and still make a calculation error, or vice versa.</w:t>
      </w:r>
    </w:p>
    <w:p/>
    <w:p>
      <w:r>
        <w:rPr>
          <w:color w:val="888888"/>
          <w:sz w:val="16"/>
          <w:szCs w:val="16"/>
        </w:rPr>
        <w:t xml:space="preserve">AILI marking guide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pxq0vrio5xarv3kbxx3" Type="http://schemas.openxmlformats.org/officeDocument/2006/relationships/hyperlink" Target="https://goa-cc-uat-aili-app-001.azurewebsites.net/explore/node/23634" TargetMode="External"/><Relationship Id="rId6yyvedvz8raww8detossa" Type="http://schemas.openxmlformats.org/officeDocument/2006/relationships/hyperlink" Target="https://goa-cc-uat-aili-app-001.azurewebsites.net/explore/node/23647" TargetMode="External"/><Relationship Id="rIdmik7ojrtfmt2x6cu0wm03" Type="http://schemas.openxmlformats.org/officeDocument/2006/relationships/hyperlink" Target="https://goa-cc-uat-aili-app-001.azurewebsites.net/explore/node/23636" TargetMode="External"/><Relationship Id="rIdr7xn5monrem0kyz2s05yv" Type="http://schemas.openxmlformats.org/officeDocument/2006/relationships/hyperlink" Target="https://goa-cc-uat-aili-app-001.azurewebsites.net/explore/node/23641" TargetMode="External"/><Relationship Id="rIdcve8sdqzut_5x2u10j4bf" Type="http://schemas.openxmlformats.org/officeDocument/2006/relationships/hyperlink" Target="https://goa-cc-uat-aili-app-001.azurewebsites.net/explore/node/23638" TargetMode="External"/><Relationship Id="rIdm5maef5epcdkbfqjldoxw" Type="http://schemas.openxmlformats.org/officeDocument/2006/relationships/hyperlink" Target="https://goa-cc-uat-aili-app-001.azurewebsites.net/explore/node/23649" TargetMode="External"/><Relationship Id="rIdg4aj2glz8yjwccjyfjwva" Type="http://schemas.openxmlformats.org/officeDocument/2006/relationships/hyperlink" Target="https://goa-cc-uat-aili-app-001.azurewebsites.net/explore/node/23648" TargetMode="External"/><Relationship Id="rIdq1vsuztakdc5eexakpmzs" Type="http://schemas.openxmlformats.org/officeDocument/2006/relationships/hyperlink" Target="https://goa-cc-uat-aili-app-001.azurewebsites.net/explore/node/23647" TargetMode="External"/><Relationship Id="rIdp1itk71vuowob6cvpwpmz" Type="http://schemas.openxmlformats.org/officeDocument/2006/relationships/hyperlink" Target="https://goa-cc-uat-aili-app-001.azurewebsites.net/explore/node/23634" TargetMode="External"/><Relationship Id="rIdkistywvvvvp3u2jrmyxha" Type="http://schemas.openxmlformats.org/officeDocument/2006/relationships/hyperlink" Target="https://goa-cc-uat-aili-app-001.azurewebsites.net/explore/node/23641" TargetMode="External"/><Relationship Id="rIdqswzpqaouvwd9yimfeptz" Type="http://schemas.openxmlformats.org/officeDocument/2006/relationships/hyperlink" Target="https://goa-cc-uat-aili-app-001.azurewebsites.net/explore/node/23636" TargetMode="External"/><Relationship Id="rIddkb-jpohgnp7afc0valxp" Type="http://schemas.openxmlformats.org/officeDocument/2006/relationships/hyperlink" Target="https://goa-cc-uat-aili-app-001.azurewebsites.net/explore/node/23649" TargetMode="External"/><Relationship Id="rIdhspa0cjubzh36vcpujshn" Type="http://schemas.openxmlformats.org/officeDocument/2006/relationships/hyperlink" Target="https://goa-cc-uat-aili-app-001.azurewebsites.net/explore/node/23638" TargetMode="External"/><Relationship Id="rIdhxxefakkyuxwiwxx8xgb2" Type="http://schemas.openxmlformats.org/officeDocument/2006/relationships/hyperlink" Target="https://goa-cc-uat-aili-app-001.azurewebsites.net/explore/node/23648" TargetMode="External"/><Relationship Id="rIddhzxxbzx7o_8qxdvz0dus" Type="http://schemas.openxmlformats.org/officeDocument/2006/relationships/hyperlink" Target="https://goa-cc-uat-aili-app-001.azurewebsites.net/explore/node/23641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Calorimetry Lab Report Marking Guide</dc:title>
  <dc:creator>AILI</dc:creator>
  <cp:lastModifiedBy>Un-named</cp:lastModifiedBy>
  <cp:revision>1</cp:revision>
  <dcterms:created xsi:type="dcterms:W3CDTF">2026-10-04T09:39:32.432Z</dcterms:created>
  <dcterms:modified xsi:type="dcterms:W3CDTF">2026-10-04T09:39:32.432Z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