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Healthy Eating and Active Living Crossword</w:t>
      </w:r>
    </w:p>
    <w:p>
      <w:pPr>
        <w:spacing w:after="120"/>
      </w:pPr>
      <w:r>
        <w:t xml:space="preserve">Food helps our bodies feel good. Movement helps too. In Grade 2, you learn about hunger cues (signs that your body needs food). You learn about cues associated with hunger, including stomach growling, low energy, and irritability. You learn about cues associated with thirst, including dry mouth, low energy, and headache(</w:t>
      </w:r>
      <w:hyperlink w:history="1" r:id="rIdtcjz1pehwqqpv4obnikcm">
        <w:r>
          <w:rPr>
            <w:color w:val="1e3a8a"/>
            <w:u w:val="single"/>
          </w:rPr>
          <w:t xml:space="preserve">Knowledge</w:t>
        </w:r>
      </w:hyperlink>
      <w:r>
        <w:t xml:space="preserve">, </w:t>
      </w:r>
      <w:hyperlink w:history="1" r:id="rIdrkk1zap8sipp00fiozffl">
        <w:r>
          <w:rPr>
            <w:color w:val="1e3a8a"/>
            <w:u w:val="single"/>
          </w:rPr>
          <w:t xml:space="preserve">Knowledge</w:t>
        </w:r>
      </w:hyperlink>
      <w:r>
        <w:t xml:space="preserve">, </w:t>
      </w:r>
      <w:hyperlink w:history="1" r:id="rIdik7ufy3fpdnj9aq2naw0l">
        <w:r>
          <w:rPr>
            <w:color w:val="1e3a8a"/>
            <w:u w:val="single"/>
          </w:rPr>
          <w:t xml:space="preserve">Knowledge</w:t>
        </w:r>
      </w:hyperlink>
      <w:r>
        <w:t xml:space="preserve">). You also learn to recognize cues associated with hunger and thirst. Many things shape our activity choices (</w:t>
      </w:r>
      <w:hyperlink w:history="1" r:id="rIddwgtd_y9ugdvfwqvlafun">
        <w:r>
          <w:rPr>
            <w:color w:val="1e3a8a"/>
            <w:u w:val="single"/>
          </w:rPr>
          <w:t xml:space="preserve">Knowledge</w:t>
        </w:r>
      </w:hyperlink>
      <w:r>
        <w:t xml:space="preserve">, </w:t>
      </w:r>
      <w:hyperlink w:history="1" r:id="rId3auw3fnr_h8xzq5frcall">
        <w:r>
          <w:rPr>
            <w:color w:val="1e3a8a"/>
            <w:u w:val="single"/>
          </w:rPr>
          <w:t xml:space="preserve">Understanding</w:t>
        </w:r>
      </w:hyperlink>
      <w:r>
        <w:t xml:space="preserve">). This crossword reviews words about nutrition (healthy food), allergy safety (staying safe from foods that make you sick), tradition (things families do the same way), and staying active.</w:t>
      </w:r>
    </w:p>
    <w:p>
      <w:pPr>
        <w:pStyle w:val="Heading2"/>
      </w:pPr>
      <w:r>
        <w:t xml:space="preserve">How to play</w:t>
      </w:r>
    </w:p>
    <w:p>
      <w:pPr>
        <w:spacing w:after="120"/>
      </w:pPr>
      <w:r>
        <w:t xml:space="preserve">Read each clue carefully. Think of a word that fits the clue. Count the boxes in the grid for that word. Write one letter in each box. Some words go across. Some words go down. Shared letters connect crossing words. Use them as hints. Check your spelling before you move on.</w:t>
      </w:r>
    </w:p>
    <w:p>
      <w:pPr>
        <w:pStyle w:val="Heading2"/>
      </w:pPr>
      <w:r>
        <w:t xml:space="preserve">Puzzle grid</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1</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2</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3</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4</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5</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6</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7</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8</w:t>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Pr>
        <w:pStyle w:val="Heading2"/>
      </w:pPr>
      <w:r>
        <w:t xml:space="preserve">Clues</w:t>
      </w:r>
    </w:p>
    <w:p>
      <w:pPr>
        <w:pStyle w:val="Heading3"/>
      </w:pPr>
      <w:r>
        <w:t xml:space="preserve">Across</w:t>
      </w:r>
    </w:p>
    <w:p>
      <w:pPr>
        <w:pStyle w:val="ListParagraph"/>
        <w:numPr>
          <w:ilvl w:val="0"/>
          <w:numId w:val="2"/>
        </w:numPr>
      </w:pPr>
      <w:r>
        <w:t xml:space="preserve">A signal your body sends when it needs food (6)</w:t>
      </w:r>
    </w:p>
    <w:p>
      <w:pPr>
        <w:pStyle w:val="ListParagraph"/>
        <w:numPr>
          <w:ilvl w:val="0"/>
          <w:numId w:val="2"/>
        </w:numPr>
      </w:pPr>
      <w:r>
        <w:t xml:space="preserve">The ability to do physical activities with strength and energy (7)</w:t>
      </w:r>
    </w:p>
    <w:p>
      <w:pPr>
        <w:pStyle w:val="ListParagraph"/>
        <w:numPr>
          <w:ilvl w:val="0"/>
          <w:numId w:val="2"/>
        </w:numPr>
      </w:pPr>
      <w:r>
        <w:t xml:space="preserve">When your body reacts badly to a certain food (7)</w:t>
      </w:r>
    </w:p>
    <w:p>
      <w:pPr>
        <w:pStyle w:val="ListParagraph"/>
        <w:numPr>
          <w:ilvl w:val="0"/>
          <w:numId w:val="2"/>
        </w:numPr>
      </w:pPr>
      <w:r>
        <w:t xml:space="preserve">Belief in yourself that you can do something well (10)</w:t>
      </w:r>
    </w:p>
    <w:p>
      <w:pPr>
        <w:pStyle w:val="ListParagraph"/>
        <w:numPr>
          <w:ilvl w:val="0"/>
          <w:numId w:val="2"/>
        </w:numPr>
      </w:pPr>
      <w:r>
        <w:t xml:space="preserve">The food and energy your body needs to grow and stay healthy (9)</w:t>
      </w:r>
    </w:p>
    <w:p>
      <w:pPr>
        <w:pStyle w:val="Heading3"/>
      </w:pPr>
      <w:r>
        <w:t xml:space="preserve">Down</w:t>
      </w:r>
    </w:p>
    <w:p>
      <w:pPr>
        <w:pStyle w:val="ListParagraph"/>
        <w:numPr>
          <w:ilvl w:val="0"/>
          <w:numId w:val="2"/>
        </w:numPr>
      </w:pPr>
      <w:r>
        <w:t xml:space="preserve">The customs and traditions of a group of people (7)</w:t>
      </w:r>
    </w:p>
    <w:p>
      <w:pPr>
        <w:pStyle w:val="ListParagraph"/>
        <w:numPr>
          <w:ilvl w:val="0"/>
          <w:numId w:val="2"/>
        </w:numPr>
      </w:pPr>
      <w:r>
        <w:t xml:space="preserve">A group of people who live or spend time together (9)</w:t>
      </w:r>
    </w:p>
    <w:p>
      <w:pPr>
        <w:pStyle w:val="ListParagraph"/>
        <w:numPr>
          <w:ilvl w:val="0"/>
          <w:numId w:val="2"/>
        </w:numPr>
      </w:pPr>
      <w:r>
        <w:t xml:space="preserve">A custom or way of doing something passed down through families (9)</w:t>
      </w:r>
    </w:p>
    <w:p>
      <w:pPr>
        <w:pStyle w:val="Heading2"/>
      </w:pPr>
      <w:r>
        <w:t xml:space="preserve">Answer key</w:t>
      </w:r>
    </w:p>
    <w:p>
      <w:pPr>
        <w:pStyle w:val="ListParagraph"/>
        <w:numPr>
          <w:ilvl w:val="0"/>
          <w:numId w:val="1"/>
        </w:numPr>
      </w:pPr>
      <w:r>
        <w:rPr>
          <w:b/>
          <w:bCs/>
        </w:rPr>
        <w:t xml:space="preserve">1 down</w:t>
      </w:r>
      <w:r>
        <w:t xml:space="preserve">: CULTURE</w:t>
      </w:r>
    </w:p>
    <w:p>
      <w:pPr>
        <w:pStyle w:val="ListParagraph"/>
        <w:numPr>
          <w:ilvl w:val="0"/>
          <w:numId w:val="1"/>
        </w:numPr>
      </w:pPr>
      <w:r>
        <w:rPr>
          <w:b/>
          <w:bCs/>
        </w:rPr>
        <w:t xml:space="preserve">2 across</w:t>
      </w:r>
      <w:r>
        <w:t xml:space="preserve">: HUNGER</w:t>
      </w:r>
    </w:p>
    <w:p>
      <w:pPr>
        <w:pStyle w:val="ListParagraph"/>
        <w:numPr>
          <w:ilvl w:val="0"/>
          <w:numId w:val="1"/>
        </w:numPr>
      </w:pPr>
      <w:r>
        <w:rPr>
          <w:b/>
          <w:bCs/>
        </w:rPr>
        <w:t xml:space="preserve">3 down</w:t>
      </w:r>
      <w:r>
        <w:t xml:space="preserve">: COMMUNITY</w:t>
      </w:r>
    </w:p>
    <w:p>
      <w:pPr>
        <w:pStyle w:val="ListParagraph"/>
        <w:numPr>
          <w:ilvl w:val="0"/>
          <w:numId w:val="1"/>
        </w:numPr>
      </w:pPr>
      <w:r>
        <w:rPr>
          <w:b/>
          <w:bCs/>
        </w:rPr>
        <w:t xml:space="preserve">4 across</w:t>
      </w:r>
      <w:r>
        <w:t xml:space="preserve">: FITNESS</w:t>
      </w:r>
    </w:p>
    <w:p>
      <w:pPr>
        <w:pStyle w:val="ListParagraph"/>
        <w:numPr>
          <w:ilvl w:val="0"/>
          <w:numId w:val="1"/>
        </w:numPr>
      </w:pPr>
      <w:r>
        <w:rPr>
          <w:b/>
          <w:bCs/>
        </w:rPr>
        <w:t xml:space="preserve">5 down</w:t>
      </w:r>
      <w:r>
        <w:t xml:space="preserve">: TRADITION</w:t>
      </w:r>
    </w:p>
    <w:p>
      <w:pPr>
        <w:pStyle w:val="ListParagraph"/>
        <w:numPr>
          <w:ilvl w:val="0"/>
          <w:numId w:val="1"/>
        </w:numPr>
      </w:pPr>
      <w:r>
        <w:rPr>
          <w:b/>
          <w:bCs/>
        </w:rPr>
        <w:t xml:space="preserve">6 across</w:t>
      </w:r>
      <w:r>
        <w:t xml:space="preserve">: ALLERGY</w:t>
      </w:r>
    </w:p>
    <w:p>
      <w:pPr>
        <w:pStyle w:val="ListParagraph"/>
        <w:numPr>
          <w:ilvl w:val="0"/>
          <w:numId w:val="1"/>
        </w:numPr>
      </w:pPr>
      <w:r>
        <w:rPr>
          <w:b/>
          <w:bCs/>
        </w:rPr>
        <w:t xml:space="preserve">7 across</w:t>
      </w:r>
      <w:r>
        <w:t xml:space="preserve">: CONFIDENCE</w:t>
      </w:r>
    </w:p>
    <w:p>
      <w:pPr>
        <w:pStyle w:val="ListParagraph"/>
        <w:numPr>
          <w:ilvl w:val="0"/>
          <w:numId w:val="1"/>
        </w:numPr>
      </w:pPr>
      <w:r>
        <w:rPr>
          <w:b/>
          <w:bCs/>
        </w:rPr>
        <w:t xml:space="preserve">8 across</w:t>
      </w:r>
      <w:r>
        <w:t xml:space="preserve">: NUTRITION</w:t>
      </w:r>
    </w:p>
    <w:tbl>
      <w:tblPr>
        <w:tblW w:type="auto" w:w="10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gridCol w:w="100"/>
        <w:gridCol w:w="100"/>
        <w:gridCol w:w="100"/>
        <w:gridCol w:w="100"/>
        <w:gridCol w:w="100"/>
        <w:gridCol w:w="100"/>
        <w:gridCol w:w="100"/>
      </w:tblGrid>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H</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L</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C</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S</w:t>
            </w:r>
          </w:p>
        </w:tc>
        <w:tc>
          <w:tcPr>
            <w:tcW w:type="dxa" w:w="480"/>
          </w:tcPr>
          <w:p>
            <w:pPr>
              <w:jc w:val="center"/>
            </w:pPr>
            <w:r>
              <w:rPr>
                <w:b/>
                <w:bCs/>
                <w:sz w:val="24"/>
                <w:szCs w:val="24"/>
              </w:rPr>
              <w:t xml:space="preserve">S</w:t>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R</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M</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A</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L</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G</w:t>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U</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D</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C</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F</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D</w:t>
            </w:r>
          </w:p>
        </w:tc>
        <w:tc>
          <w:tcPr>
            <w:tcW w:type="dxa" w:w="480"/>
          </w:tcPr>
          <w:p>
            <w:pPr>
              <w:jc w:val="center"/>
            </w:pPr>
            <w:r>
              <w:rPr>
                <w:b/>
                <w:bCs/>
                <w:sz w:val="24"/>
                <w:szCs w:val="24"/>
              </w:rPr>
              <w:t xml:space="preserve">E</w:t>
            </w:r>
          </w:p>
        </w:tc>
        <w:tc>
          <w:tcPr>
            <w:tcW w:type="dxa" w:w="480"/>
          </w:tcPr>
          <w:p>
            <w:pPr>
              <w:jc w:val="center"/>
            </w:pPr>
            <w:r>
              <w:rPr>
                <w:b/>
                <w:bCs/>
                <w:sz w:val="24"/>
                <w:szCs w:val="24"/>
              </w:rPr>
              <w:t xml:space="preserve">N</w:t>
            </w:r>
          </w:p>
        </w:tc>
        <w:tc>
          <w:tcPr>
            <w:tcW w:type="dxa" w:w="480"/>
          </w:tcPr>
          <w:p>
            <w:pPr>
              <w:jc w:val="center"/>
            </w:pPr>
            <w:r>
              <w:rPr>
                <w:b/>
                <w:bCs/>
                <w:sz w:val="24"/>
                <w:szCs w:val="24"/>
              </w:rPr>
              <w:t xml:space="preserve">C</w:t>
            </w:r>
          </w:p>
        </w:tc>
        <w:tc>
          <w:tcPr>
            <w:tcW w:type="dxa" w:w="480"/>
          </w:tcPr>
          <w:p>
            <w:pPr>
              <w:jc w:val="center"/>
            </w:pPr>
            <w:r>
              <w:rPr>
                <w:b/>
                <w:bCs/>
                <w:sz w:val="24"/>
                <w:szCs w:val="24"/>
              </w:rPr>
              <w:t xml:space="preserve">E</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I</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T</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Pr>
          <w:p>
            <w:pPr>
              <w:jc w:val="center"/>
            </w:pPr>
            <w:r>
              <w:rPr>
                <w:b/>
                <w:bCs/>
                <w:sz w:val="24"/>
                <w:szCs w:val="24"/>
              </w:rPr>
              <w:t xml:space="preserve">N</w:t>
            </w:r>
          </w:p>
        </w:tc>
        <w:tc>
          <w:tcPr>
            <w:tcW w:type="dxa" w:w="480"/>
          </w:tcPr>
          <w:p>
            <w:pPr>
              <w:jc w:val="center"/>
            </w:pPr>
            <w:r>
              <w:rPr>
                <w:b/>
                <w:bCs/>
                <w:sz w:val="24"/>
                <w:szCs w:val="24"/>
              </w:rPr>
              <w:t xml:space="preserve">U</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R</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T</w:t>
            </w:r>
          </w:p>
        </w:tc>
        <w:tc>
          <w:tcPr>
            <w:tcW w:type="dxa" w:w="480"/>
          </w:tcPr>
          <w:p>
            <w:pPr>
              <w:jc w:val="center"/>
            </w:pPr>
            <w:r>
              <w:rPr>
                <w:b/>
                <w:bCs/>
                <w:sz w:val="24"/>
                <w:szCs w:val="24"/>
              </w:rPr>
              <w:t xml:space="preserve">I</w:t>
            </w:r>
          </w:p>
        </w:tc>
        <w:tc>
          <w:tcPr>
            <w:tcW w:type="dxa" w:w="480"/>
          </w:tcPr>
          <w:p>
            <w:pPr>
              <w:jc w:val="center"/>
            </w:pPr>
            <w:r>
              <w:rPr>
                <w:b/>
                <w:bCs/>
                <w:sz w:val="24"/>
                <w:szCs w:val="24"/>
              </w:rPr>
              <w:t xml:space="preserve">O</w:t>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Y</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O</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r>
        <w:trPr>
          <w:trHeight w:val="480" w:hRule="exact"/>
        </w:trPr>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Pr>
          <w:p>
            <w:pPr>
              <w:jc w:val="center"/>
            </w:pPr>
            <w:r>
              <w:rPr>
                <w:b/>
                <w:bCs/>
                <w:sz w:val="24"/>
                <w:szCs w:val="24"/>
              </w:rPr>
              <w:t xml:space="preserve">N</w:t>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c>
          <w:tcPr>
            <w:tcW w:type="dxa" w:w="480"/>
            <w:tcBorders>
              <w:top w:val="none" w:sz="0"/>
              <w:left w:val="none" w:sz="0"/>
              <w:bottom w:val="none" w:sz="0"/>
              <w:right w:val="none" w:sz="0"/>
            </w:tcBorders>
          </w:tcPr>
          <w:p>
            <w:pPr>
              <w:jc w:val="center"/>
            </w:pPr>
            <w:r>
              <w:rPr>
                <w:b/>
                <w:bCs/>
                <w:sz w:val="24"/>
                <w:szCs w:val="24"/>
              </w:rPr>
              <w:t xml:space="preserve"/>
            </w:r>
          </w:p>
        </w:tc>
      </w:tr>
    </w:tbl>
    <w:p/>
    <w:p/>
    <w:p>
      <w:r>
        <w:rPr>
          <w:color w:val="888888"/>
          <w:sz w:val="16"/>
          <w:szCs w:val="16"/>
        </w:rPr>
        <w:t xml:space="preserve">AILI game · en · claude-sonnet-5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cjz1pehwqqpv4obnikcm" Type="http://schemas.openxmlformats.org/officeDocument/2006/relationships/hyperlink" Target="https://goa-cc-uat-aili-app-001.azurewebsites.net/explore/node/4385" TargetMode="External"/><Relationship Id="rIdrkk1zap8sipp00fiozffl" Type="http://schemas.openxmlformats.org/officeDocument/2006/relationships/hyperlink" Target="https://goa-cc-uat-aili-app-001.azurewebsites.net/explore/node/4389" TargetMode="External"/><Relationship Id="rIdik7ufy3fpdnj9aq2naw0l" Type="http://schemas.openxmlformats.org/officeDocument/2006/relationships/hyperlink" Target="https://goa-cc-uat-aili-app-001.azurewebsites.net/explore/node/4397" TargetMode="External"/><Relationship Id="rIddwgtd_y9ugdvfwqvlafun" Type="http://schemas.openxmlformats.org/officeDocument/2006/relationships/hyperlink" Target="https://goa-cc-uat-aili-app-001.azurewebsites.net/explore/node/4277" TargetMode="External"/><Relationship Id="rId3auw3fnr_h8xzq5frcall" Type="http://schemas.openxmlformats.org/officeDocument/2006/relationships/hyperlink" Target="https://goa-cc-uat-aili-app-001.azurewebsites.net/explore/node/4278" TargetMode="External"/><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Healthy Eating and Active Living Crossword</dc:title>
  <dc:creator>AILI</dc:creator>
  <cp:lastModifiedBy>Un-named</cp:lastModifiedBy>
  <cp:revision>1</cp:revision>
  <dcterms:created xsi:type="dcterms:W3CDTF">2026-10-04T08:00:39.228Z</dcterms:created>
  <dcterms:modified xsi:type="dcterms:W3CDTF">2026-10-04T08:00:39.228Z</dcterms:modified>
</cp:coreProperties>
</file>

<file path=docProps/custom.xml><?xml version="1.0" encoding="utf-8"?>
<Properties xmlns="http://schemas.openxmlformats.org/officeDocument/2006/custom-properties" xmlns:vt="http://schemas.openxmlformats.org/officeDocument/2006/docPropsVTypes"/>
</file>