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Personal Choices and Well-Being</w:t>
      </w:r>
    </w:p>
    <w:p>
      <w:pPr>
        <w:spacing w:after="120"/>
      </w:pPr>
      <w:r>
        <w:t xml:space="preserve">This game reviews vocabulary connected to decision-making, health habits and social influence, ideas that Career and Life Management students build on from earlier outcomes in Health and Life Skills. Grade 7 students examine how personal grooming choices and advertising shape habits (</w:t>
      </w:r>
      <w:hyperlink w:history="1" r:id="rIdxzn_sthxn0pmzxis5optv">
        <w:r>
          <w:rPr>
            <w:color w:val="1e3a8a"/>
            <w:u w:val="single"/>
          </w:rPr>
          <w:t xml:space="preserve">Outcome</w:t>
        </w:r>
      </w:hyperlink>
      <w:r>
        <w:t xml:space="preserve">) and how peer pressure factors into everyday decisions such as food choices (</w:t>
      </w:r>
      <w:hyperlink w:history="1" r:id="rIdijdyrylwcgfj_wcd3h6dn">
        <w:r>
          <w:rPr>
            <w:color w:val="1e3a8a"/>
            <w:u w:val="single"/>
          </w:rPr>
          <w:t xml:space="preserve">Outcome</w:t>
        </w:r>
      </w:hyperlink>
      <w:r>
        <w:t xml:space="preserve">), while also analyzing the social factors behind substance use and avoidance (</w:t>
      </w:r>
      <w:hyperlink w:history="1" r:id="rIdemqt46fttm096cduqyfk6">
        <w:r>
          <w:rPr>
            <w:color w:val="1e3a8a"/>
            <w:u w:val="single"/>
          </w:rPr>
          <w:t xml:space="preserve">Outcome</w:t>
        </w:r>
      </w:hyperlink>
      <w:r>
        <w:t xml:space="preserve">). Grade 8 outcomes push this further by asking students to examine the relationship between choices and the consequences that follow (</w:t>
      </w:r>
      <w:hyperlink w:history="1" r:id="rIdjf9jg4-b6ysnsydsp9nuy">
        <w:r>
          <w:rPr>
            <w:color w:val="1e3a8a"/>
            <w:u w:val="single"/>
          </w:rPr>
          <w:t xml:space="preserve">Outcome</w:t>
        </w:r>
      </w:hyperlink>
      <w:r>
        <w:t xml:space="preserve">) and to develop strategies for handling pressure to look or live a certain way (</w:t>
      </w:r>
      <w:hyperlink w:history="1" r:id="rIdnvonrvjr0dg8y0irjwie8">
        <w:r>
          <w:rPr>
            <w:color w:val="1e3a8a"/>
            <w:u w:val="single"/>
          </w:rPr>
          <w:t xml:space="preserve">Outcome</w:t>
        </w:r>
      </w:hyperlink>
      <w:r>
        <w:t xml:space="preserve">). This puzzle set uses key terms from that progression to reinforce vocabulary students need when discussing personal health decisions and social pressure at the Grade 10 level.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(4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</w:t>
      </w:r>
    </w:p>
    <w:p>
      <w:pPr>
        <w:spacing w:after="120"/>
      </w:pPr>
      <w:r>
        <w:t xml:space="preserve">Clue: A person of similar age or status who can influence your choices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G _ _ _ _ _ _ _</w:t>
      </w:r>
    </w:p>
    <w:p>
      <w:pPr>
        <w:spacing w:after="120"/>
      </w:pPr>
      <w:r>
        <w:t xml:space="preserve">Clue: Personal cleanliness and care of one's appearance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</w:t>
      </w:r>
    </w:p>
    <w:p>
      <w:pPr>
        <w:spacing w:after="120"/>
      </w:pPr>
      <w:r>
        <w:t xml:space="preserve">Clue: A social force pushing someone toward a certain look or behavior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(12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 _ _ _</w:t>
      </w:r>
    </w:p>
    <w:p>
      <w:pPr>
        <w:spacing w:after="120"/>
      </w:pPr>
      <w:r>
        <w:t xml:space="preserve">Clue: The results that follow from a decision or action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PEER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GROOMING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PRESSURE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CONSEQUENCES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n_sthxn0pmzxis5optv" Type="http://schemas.openxmlformats.org/officeDocument/2006/relationships/hyperlink" Target="https://goa-cc-uat-aili-app-001.azurewebsites.net/explore/node/10169" TargetMode="External"/><Relationship Id="rIdijdyrylwcgfj_wcd3h6dn" Type="http://schemas.openxmlformats.org/officeDocument/2006/relationships/hyperlink" Target="https://goa-cc-uat-aili-app-001.azurewebsites.net/explore/node/10172" TargetMode="External"/><Relationship Id="rIdemqt46fttm096cduqyfk6" Type="http://schemas.openxmlformats.org/officeDocument/2006/relationships/hyperlink" Target="https://goa-cc-uat-aili-app-001.azurewebsites.net/explore/node/10173" TargetMode="External"/><Relationship Id="rIdjf9jg4-b6ysnsydsp9nuy" Type="http://schemas.openxmlformats.org/officeDocument/2006/relationships/hyperlink" Target="https://goa-cc-uat-aili-app-001.azurewebsites.net/explore/node/10211" TargetMode="External"/><Relationship Id="rIdnvonrvjr0dg8y0irjwie8" Type="http://schemas.openxmlformats.org/officeDocument/2006/relationships/hyperlink" Target="https://goa-cc-uat-aili-app-001.azurewebsites.net/explore/node/10214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Personal Choices and Well-Being</dc:title>
  <dc:creator>AILI</dc:creator>
  <cp:lastModifiedBy>Un-named</cp:lastModifiedBy>
  <cp:revision>1</cp:revision>
  <dcterms:created xsi:type="dcterms:W3CDTF">2026-10-04T06:00:40.815Z</dcterms:created>
  <dcterms:modified xsi:type="dcterms:W3CDTF">2026-10-04T06:00:40.815Z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