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 Rubric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addition and subtraction within 100.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investigate addition and subtraction within 100 (</w:t>
      </w:r>
      <w:hyperlink w:history="1" r:id="rIdsyipx66x9gm3ofn5tslcm">
        <w:r>
          <w:rPr>
            <w:color w:val="1e3a8a"/>
            <w:u w:val="single"/>
          </w:rPr>
          <w:t xml:space="preserve">Outcome</w:t>
        </w:r>
      </w:hyperlink>
      <w:r>
        <w:t xml:space="preserve">). The rubric assesses:</w:t>
      </w:r>
    </w:p>
    <w:p>
      <w:pPr>
        <w:pStyle w:val="ListParagraph"/>
        <w:numPr>
          <w:ilvl w:val="0"/>
          <w:numId w:val="1"/>
        </w:numPr>
      </w:pPr>
      <w:r>
        <w:t xml:space="preserve">Recall and application of addition and subtraction number facts and strategies (</w:t>
      </w:r>
      <w:hyperlink w:history="1" r:id="rId6-vyc0cgk9qy0m-mfwb-h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Understanding that a sum can be composed in multiple ways (</w:t>
      </w:r>
      <w:hyperlink w:history="1" r:id="rIdrlozeep4tc7wu6bxhxx7g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Understanding that addition and subtraction represent quantities or lengths (</w:t>
      </w:r>
      <w:hyperlink w:history="1" r:id="rIdcgud2xrhuawnkzai6it5q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Ability to verify sums or differences using inverse operations (</w:t>
      </w:r>
      <w:hyperlink w:history="1" r:id="rIdnublnq0-dbgsw3cexup8k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Accuracy of calculation</w:t>
            </w:r>
          </w:p>
        </w:tc>
        <w:tc>
          <w:p>
            <w:r>
              <w:t xml:space="preserve">Calculations contain multiple errors. Sums or differences are incorrect.</w:t>
            </w:r>
          </w:p>
        </w:tc>
        <w:tc>
          <w:p>
            <w:r>
              <w:t xml:space="preserve">Most calculations are correct, but one or two errors appear.</w:t>
            </w:r>
          </w:p>
        </w:tc>
        <w:tc>
          <w:p>
            <w:r>
              <w:t xml:space="preserve">All calculations are correct within 100.</w:t>
            </w:r>
          </w:p>
        </w:tc>
        <w:tc>
          <w:p>
            <w:r>
              <w:t xml:space="preserve">All calculations are correct and shown with clear working.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Use of strategy</w:t>
            </w:r>
          </w:p>
        </w:tc>
        <w:tc>
          <w:p>
            <w:r>
              <w:t xml:space="preserve">No clear strategy is shown. Student guesses or counts on fingers.</w:t>
            </w:r>
          </w:p>
        </w:tc>
        <w:tc>
          <w:p>
            <w:r>
              <w:t xml:space="preserve">One strategy is attempted but applied inconsistently.</w:t>
            </w:r>
          </w:p>
        </w:tc>
        <w:tc>
          <w:p>
            <w:r>
              <w:t xml:space="preserve">Student applies one appropriate strategy (doubles, making tens, or inverse operations) correctly.</w:t>
            </w:r>
          </w:p>
        </w:tc>
        <w:tc>
          <w:p>
            <w:r>
              <w:t xml:space="preserve">Student applies multiple strategies and explains why each works.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Labels and model clarity</w:t>
            </w:r>
          </w:p>
        </w:tc>
        <w:tc>
          <w:p>
            <w:r>
              <w:t xml:space="preserve">Model is missing or unlabelled. It is hard to follow.</w:t>
            </w:r>
          </w:p>
        </w:tc>
        <w:tc>
          <w:p>
            <w:r>
              <w:t xml:space="preserve">Model is present but labels are incomplete or unclear.</w:t>
            </w:r>
          </w:p>
        </w:tc>
        <w:tc>
          <w:p>
            <w:r>
              <w:t xml:space="preserve">Model is clear and all parts are labelled with numbers and operation symbols.</w:t>
            </w:r>
          </w:p>
        </w:tc>
        <w:tc>
          <w:p>
            <w:r>
              <w:t xml:space="preserve">Model is clear, detailed, and labelled. Visual representation matches the calculation exactly.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Composition of sums</w:t>
            </w:r>
          </w:p>
        </w:tc>
        <w:tc>
          <w:p>
            <w:r>
              <w:t xml:space="preserve">Student shows only one way to make a sum.</w:t>
            </w:r>
          </w:p>
        </w:tc>
        <w:tc>
          <w:p>
            <w:r>
              <w:t xml:space="preserve">Student shows two ways to compose a sum.</w:t>
            </w:r>
          </w:p>
        </w:tc>
        <w:tc>
          <w:p>
            <w:r>
              <w:t xml:space="preserve">Student shows at least two different ways to compose the same sum.</w:t>
            </w:r>
          </w:p>
        </w:tc>
        <w:tc>
          <w:p>
            <w:r>
              <w:t xml:space="preserve">Student shows three or more ways to compose a sum and explains the pattern.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Add the level points for each criterion: Beginning = 1, Developing = 2, Proficient = 3, Exemplary = 4.</w:t>
      </w:r>
    </w:p>
    <w:p>
      <w:pPr>
        <w:pStyle w:val="ListParagraph"/>
        <w:numPr>
          <w:ilvl w:val="0"/>
          <w:numId w:val="1"/>
        </w:numPr>
      </w:pPr>
      <w:r>
        <w:t xml:space="preserve">4 to 5 points: Beginning</w:t>
      </w:r>
    </w:p>
    <w:p>
      <w:pPr>
        <w:pStyle w:val="ListParagraph"/>
        <w:numPr>
          <w:ilvl w:val="0"/>
          <w:numId w:val="1"/>
        </w:numPr>
      </w:pPr>
      <w:r>
        <w:t xml:space="preserve">6 to 9 points: Developing</w:t>
      </w:r>
    </w:p>
    <w:p>
      <w:pPr>
        <w:pStyle w:val="ListParagraph"/>
        <w:numPr>
          <w:ilvl w:val="0"/>
          <w:numId w:val="1"/>
        </w:numPr>
      </w:pPr>
      <w:r>
        <w:t xml:space="preserve">10 to 13 points: Proficient</w:t>
      </w:r>
    </w:p>
    <w:p>
      <w:pPr>
        <w:pStyle w:val="ListParagraph"/>
        <w:numPr>
          <w:ilvl w:val="0"/>
          <w:numId w:val="1"/>
        </w:numPr>
      </w:pPr>
      <w:r>
        <w:t xml:space="preserve">14 to 16 points: Exemplary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Look for evidence of strategy, not just correct answers. A student who counts on but arrives at the right sum is developing; a student who uses making tens is proficient.</w:t>
      </w:r>
    </w:p>
    <w:p>
      <w:pPr>
        <w:pStyle w:val="ListParagraph"/>
        <w:numPr>
          <w:ilvl w:val="0"/>
          <w:numId w:val="1"/>
        </w:numPr>
      </w:pPr>
      <w:r>
        <w:t xml:space="preserve">Labels must include numbers and operation symbols (+ or −). A model without labels cannot be marked higher than Developing.</w:t>
      </w:r>
    </w:p>
    <w:p>
      <w:pPr>
        <w:pStyle w:val="ListParagraph"/>
        <w:numPr>
          <w:ilvl w:val="0"/>
          <w:numId w:val="1"/>
        </w:numPr>
      </w:pPr>
      <w:r>
        <w:t xml:space="preserve">When assessing composition of sums, accept any representation: tens and ones blocks, number lines, drawings, or equations. The key is showing different ways to reach the same total.</w:t>
      </w:r>
    </w:p>
    <w:p>
      <w:pPr>
        <w:pStyle w:val="ListParagraph"/>
        <w:numPr>
          <w:ilvl w:val="0"/>
          <w:numId w:val="1"/>
        </w:numPr>
      </w:pPr>
      <w:r>
        <w:t xml:space="preserve">If a student verifies their work using the inverse operation (for example, checking 24 + 15 = 39 by doing 39 − 15 = 24), mark the accuracy and strategy criteria at Proficient or Exemplary.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ipx66x9gm3ofn5tslcm" Type="http://schemas.openxmlformats.org/officeDocument/2006/relationships/hyperlink" Target="https://goa-cc-uat-aili-app-001.azurewebsites.net/explore/node/29844" TargetMode="External"/><Relationship Id="rId6-vyc0cgk9qy0m-mfwb-h" Type="http://schemas.openxmlformats.org/officeDocument/2006/relationships/hyperlink" Target="https://goa-cc-uat-aili-app-001.azurewebsites.net/explore/node/29852" TargetMode="External"/><Relationship Id="rIdrlozeep4tc7wu6bxhxx7g" Type="http://schemas.openxmlformats.org/officeDocument/2006/relationships/hyperlink" Target="https://goa-cc-uat-aili-app-001.azurewebsites.net/explore/node/29847" TargetMode="External"/><Relationship Id="rIdcgud2xrhuawnkzai6it5q" Type="http://schemas.openxmlformats.org/officeDocument/2006/relationships/hyperlink" Target="https://goa-cc-uat-aili-app-001.azurewebsites.net/explore/node/29851" TargetMode="External"/><Relationship Id="rIdnublnq0-dbgsw3cexup8k" Type="http://schemas.openxmlformats.org/officeDocument/2006/relationships/hyperlink" Target="https://goa-cc-uat-aili-app-001.azurewebsites.net/explore/node/29852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 Rubric</dc:title>
  <dc:creator>AILI</dc:creator>
  <cp:lastModifiedBy>Un-named</cp:lastModifiedBy>
  <cp:revision>1</cp:revision>
  <dcterms:created xsi:type="dcterms:W3CDTF">2026-10-04T06:31:57.389Z</dcterms:created>
  <dcterms:modified xsi:type="dcterms:W3CDTF">2026-10-04T06:31:57.389Z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