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Mots croisés: la lecture et la compréhension</w:t>
      </w:r>
    </w:p>
    <w:p>
      <w:pPr>
        <w:spacing w:after="120"/>
      </w:pPr>
      <w:r>
        <w:t xml:space="preserve">Ce jeu revoit des mots clés utilisés pour mieux comprendre un texte: le survol, le titre, le paratexte, le contexte, l'intention, le rappel et l'inférence. Ces stratégies aident les élèves à dégager le sens d'un texte et à faire des liens avec leur vécu (</w:t>
      </w:r>
      <w:hyperlink w:history="1" r:id="rIdj2alrwprdwjvgnubfwgis">
        <w:r>
          <w:rPr>
            <w:color w:val="1e3a8a"/>
            <w:u w:val="single"/>
          </w:rPr>
          <w:t xml:space="preserve">Details</w:t>
        </w:r>
      </w:hyperlink>
      <w:r>
        <w:t xml:space="preserve">, </w:t>
      </w:r>
      <w:hyperlink w:history="1" r:id="rIdurykawi_3yy3wrrjpg5_n">
        <w:r>
          <w:rPr>
            <w:color w:val="1e3a8a"/>
            <w:u w:val="single"/>
          </w:rPr>
          <w:t xml:space="preserve">Details</w:t>
        </w:r>
      </w:hyperlink>
      <w:r>
        <w:t xml:space="preserve">, </w:t>
      </w:r>
      <w:hyperlink w:history="1" r:id="rIdodh4s8zgakpyj3bxup5vw">
        <w:r>
          <w:rPr>
            <w:color w:val="1e3a8a"/>
            <w:u w:val="single"/>
          </w:rPr>
          <w:t xml:space="preserve">Details</w:t>
        </w:r>
      </w:hyperlink>
      <w:r>
        <w:t xml:space="preserve">, </w:t>
      </w:r>
      <w:hyperlink w:history="1" r:id="rIdetzzr59s0ty9wthxnmonv">
        <w:r>
          <w:rPr>
            <w:color w:val="1e3a8a"/>
            <w:u w:val="single"/>
          </w:rPr>
          <w:t xml:space="preserve">Details</w:t>
        </w:r>
      </w:hyperlink>
      <w:r>
        <w:t xml:space="preserve">). Le survol et le rappel font partie des stratégies apprises dès les premières années (</w:t>
      </w:r>
      <w:hyperlink w:history="1" r:id="rIdv4fsrcqzmxdtd-ano_pez">
        <w:r>
          <w:rPr>
            <w:color w:val="1e3a8a"/>
            <w:u w:val="single"/>
          </w:rPr>
          <w:t xml:space="preserve">Details</w:t>
        </w:r>
      </w:hyperlink>
      <w:r>
        <w:t xml:space="preserve">). L'intention de lecture guide la préparation avant de lire un texte (</w:t>
      </w:r>
      <w:hyperlink w:history="1" r:id="rIdkka574x64dave15txbcth">
        <w:r>
          <w:rPr>
            <w:color w:val="1e3a8a"/>
            <w:u w:val="single"/>
          </w:rPr>
          <w:t xml:space="preserve">Details</w:t>
        </w:r>
      </w:hyperlink>
      <w:r>
        <w:t xml:space="preserve">). Le contexte et l'inférence aident à comprendre des idées qui ne sont pas toujours écrites directement (</w:t>
      </w:r>
      <w:hyperlink w:history="1" r:id="rIdezyi68yctu28n_-weo3g3">
        <w:r>
          <w:rPr>
            <w:color w:val="1e3a8a"/>
            <w:u w:val="single"/>
          </w:rPr>
          <w:t xml:space="preserve">Details</w:t>
        </w:r>
      </w:hyperlink>
      <w:r>
        <w:t xml:space="preserve">). Le paratexte, comme le titre et les sous-titres, donne des indices sur le sujet d'un texte (</w:t>
      </w:r>
      <w:hyperlink w:history="1" r:id="rIdjktazvky_pxotbc3hx_gu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Heading2"/>
      </w:pPr>
      <w:r>
        <w:t xml:space="preserve">Comment jouer</w:t>
      </w:r>
    </w:p>
    <w:p>
      <w:pPr>
        <w:pStyle w:val="ListParagraph"/>
        <w:numPr>
          <w:ilvl w:val="0"/>
          <w:numId w:val="2"/>
        </w:numPr>
      </w:pPr>
      <w:r>
        <w:t xml:space="preserve">Lis chaque indice attentivement.</w:t>
      </w:r>
    </w:p>
    <w:p>
      <w:pPr>
        <w:pStyle w:val="ListParagraph"/>
        <w:numPr>
          <w:ilvl w:val="0"/>
          <w:numId w:val="2"/>
        </w:numPr>
      </w:pPr>
      <w:r>
        <w:t xml:space="preserve">Trouve le mot qui correspond à l'indice.</w:t>
      </w:r>
    </w:p>
    <w:p>
      <w:pPr>
        <w:pStyle w:val="ListParagraph"/>
        <w:numPr>
          <w:ilvl w:val="0"/>
          <w:numId w:val="2"/>
        </w:numPr>
      </w:pPr>
      <w:r>
        <w:t xml:space="preserve">Écris le mot dans la grille, une lettre par case, à l'endroit ou à la verticale selon le numéro indiqué.</w:t>
      </w:r>
    </w:p>
    <w:p>
      <w:pPr>
        <w:pStyle w:val="ListParagraph"/>
        <w:numPr>
          <w:ilvl w:val="0"/>
          <w:numId w:val="2"/>
        </w:numPr>
      </w:pPr>
      <w:r>
        <w:t xml:space="preserve">Vérifie que le mot s'accorde avec les mots déjà placés qui se croisent avec le tien.</w:t>
      </w:r>
    </w:p>
    <w:p>
      <w:pPr>
        <w:pStyle w:val="ListParagraph"/>
        <w:numPr>
          <w:ilvl w:val="0"/>
          <w:numId w:val="2"/>
        </w:numPr>
      </w:pPr>
      <w:r>
        <w:t xml:space="preserve">Utilise la clé de réponses seulement après avoir essayé de remplir toute la grille.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/>
    <w:p>
      <w:pPr>
        <w:pStyle w:val="Heading2"/>
      </w:pPr>
      <w:r>
        <w:t xml:space="preserve">Indices</w:t>
      </w:r>
    </w:p>
    <w:p>
      <w:pPr>
        <w:pStyle w:val="Heading3"/>
      </w:pPr>
      <w:r>
        <w:t xml:space="preserve">Across</w:t>
      </w:r>
    </w:p>
    <w:p>
      <w:pPr>
        <w:pStyle w:val="ListParagraph"/>
        <w:numPr>
          <w:ilvl w:val="0"/>
          <w:numId w:val="2"/>
        </w:numPr>
      </w:pPr>
      <w:r>
        <w:t xml:space="preserve">Mot ou phrase qui annonce le sujet d'un texte (5)</w:t>
      </w:r>
    </w:p>
    <w:p>
      <w:pPr>
        <w:pStyle w:val="ListParagraph"/>
        <w:numPr>
          <w:ilvl w:val="0"/>
          <w:numId w:val="2"/>
        </w:numPr>
      </w:pPr>
      <w:r>
        <w:t xml:space="preserve">Éléments qui accompagnent un texte comme le titre et les illustrations (9)</w:t>
      </w:r>
    </w:p>
    <w:p>
      <w:pPr>
        <w:pStyle w:val="ListParagraph"/>
        <w:numPr>
          <w:ilvl w:val="0"/>
          <w:numId w:val="2"/>
        </w:numPr>
      </w:pPr>
      <w:r>
        <w:t xml:space="preserve">Information qui aide à comprendre un texte, y compris les traits des personnages (8)</w:t>
      </w:r>
    </w:p>
    <w:p>
      <w:pPr>
        <w:pStyle w:val="ListParagraph"/>
        <w:numPr>
          <w:ilvl w:val="0"/>
          <w:numId w:val="2"/>
        </w:numPr>
      </w:pPr>
      <w:r>
        <w:t xml:space="preserve">Examiner rapidement les indices d'un texte pour en connaître le contenu (6)</w:t>
      </w:r>
    </w:p>
    <w:p>
      <w:pPr>
        <w:pStyle w:val="Heading3"/>
      </w:pPr>
      <w:r>
        <w:t xml:space="preserve">Down</w:t>
      </w:r>
    </w:p>
    <w:p>
      <w:pPr>
        <w:pStyle w:val="ListParagraph"/>
        <w:numPr>
          <w:ilvl w:val="0"/>
          <w:numId w:val="2"/>
        </w:numPr>
      </w:pPr>
      <w:r>
        <w:t xml:space="preserve">Déduction faite à partir d'indices et de ce qu'on sait déjà (9)</w:t>
      </w:r>
    </w:p>
    <w:p>
      <w:pPr>
        <w:pStyle w:val="ListParagraph"/>
        <w:numPr>
          <w:ilvl w:val="0"/>
          <w:numId w:val="2"/>
        </w:numPr>
      </w:pPr>
      <w:r>
        <w:t xml:space="preserve">Raison pour laquelle on lit, regarde ou écoute un texte (9)</w:t>
      </w:r>
    </w:p>
    <w:p>
      <w:pPr>
        <w:pStyle w:val="ListParagraph"/>
        <w:numPr>
          <w:ilvl w:val="0"/>
          <w:numId w:val="2"/>
        </w:numPr>
      </w:pPr>
      <w:r>
        <w:t xml:space="preserve">Résumer l'essentiel d'un texte en respectant son ordre (6)</w:t>
      </w:r>
    </w:p>
    <w:p>
      <w:pPr>
        <w:pStyle w:val="Heading2"/>
      </w:pPr>
      <w:r>
        <w:t xml:space="preserve">Clé de réponses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1 down</w:t>
      </w:r>
      <w:r>
        <w:t xml:space="preserve">: INFERENCE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2 across</w:t>
      </w:r>
      <w:r>
        <w:t xml:space="preserve">: TITRE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3 down</w:t>
      </w:r>
      <w:r>
        <w:t xml:space="preserve">: INTENTION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4 down</w:t>
      </w:r>
      <w:r>
        <w:t xml:space="preserve">: RAPPEL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5 across</w:t>
      </w:r>
      <w:r>
        <w:t xml:space="preserve">: PARATEXTE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6 across</w:t>
      </w:r>
      <w:r>
        <w:t xml:space="preserve">: CONTEXTE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7 across</w:t>
      </w:r>
      <w:r>
        <w:t xml:space="preserve">: SURVOL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/>
    <w:p>
      <w:pPr>
        <w:pBdr>
          <w:bottom w:val="single" w:color="cccccc" w:sz="6"/>
        </w:pBdr>
      </w:pPr>
    </w:p>
    <w:p>
      <w:pPr>
        <w:spacing w:after="120"/>
      </w:pPr>
      <w:r>
        <w:rPr>
          <w:i/>
          <w:iCs/>
        </w:rPr>
        <w:t xml:space="preserve">Note: 2 learning outcome blocks were left out to fit the 4000-token curriculum budget for this kind of material. Use "Split into parts" to generate one document per organizing idea.</w:t>
      </w:r>
    </w:p>
    <w:p/>
    <w:p>
      <w:r>
        <w:rPr>
          <w:color w:val="888888"/>
          <w:sz w:val="16"/>
          <w:szCs w:val="16"/>
        </w:rPr>
        <w:t xml:space="preserve">AILI game · fr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2alrwprdwjvgnubfwgis" Type="http://schemas.openxmlformats.org/officeDocument/2006/relationships/hyperlink" Target="https://goa-cc-uat-aili-app-001.azurewebsites.net/explore/node/11647" TargetMode="External"/><Relationship Id="rIdurykawi_3yy3wrrjpg5_n" Type="http://schemas.openxmlformats.org/officeDocument/2006/relationships/hyperlink" Target="https://goa-cc-uat-aili-app-001.azurewebsites.net/explore/node/11771" TargetMode="External"/><Relationship Id="rIdodh4s8zgakpyj3bxup5vw" Type="http://schemas.openxmlformats.org/officeDocument/2006/relationships/hyperlink" Target="https://goa-cc-uat-aili-app-001.azurewebsites.net/explore/node/11990" TargetMode="External"/><Relationship Id="rIdetzzr59s0ty9wthxnmonv" Type="http://schemas.openxmlformats.org/officeDocument/2006/relationships/hyperlink" Target="https://goa-cc-uat-aili-app-001.azurewebsites.net/explore/node/12089" TargetMode="External"/><Relationship Id="rIdv4fsrcqzmxdtd-ano_pez" Type="http://schemas.openxmlformats.org/officeDocument/2006/relationships/hyperlink" Target="https://goa-cc-uat-aili-app-001.azurewebsites.net/explore/node/11647" TargetMode="External"/><Relationship Id="rIdkka574x64dave15txbcth" Type="http://schemas.openxmlformats.org/officeDocument/2006/relationships/hyperlink" Target="https://goa-cc-uat-aili-app-001.azurewebsites.net/explore/node/11771" TargetMode="External"/><Relationship Id="rIdezyi68yctu28n_-weo3g3" Type="http://schemas.openxmlformats.org/officeDocument/2006/relationships/hyperlink" Target="https://goa-cc-uat-aili-app-001.azurewebsites.net/explore/node/11990" TargetMode="External"/><Relationship Id="rIdjktazvky_pxotbc3hx_gu" Type="http://schemas.openxmlformats.org/officeDocument/2006/relationships/hyperlink" Target="https://goa-cc-uat-aili-app-001.azurewebsites.net/explore/node/12089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Mots croisés : la lecture et la compréhension</dc:title>
  <dc:creator>AILI</dc:creator>
  <cp:lastModifiedBy>Un-named</cp:lastModifiedBy>
  <cp:revision>1</cp:revision>
  <dcterms:created xsi:type="dcterms:W3CDTF">2026-10-04T23:27:14.790Z</dcterms:created>
  <dcterms:modified xsi:type="dcterms:W3CDTF">2026-10-04T23:27:14.790Z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