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Rubric: Healthy Eating and Active Living Model or Report</w:t>
      </w:r>
    </w:p>
    <w:p>
      <w:pPr>
        <w:pStyle w:val="Heading2"/>
      </w:pPr>
      <w:r>
        <w:t xml:space="preserve">Task</w:t>
      </w:r>
    </w:p>
    <w:p>
      <w:pPr>
        <w:spacing w:after="120"/>
      </w:pPr>
      <w:r>
        <w:t xml:space="preserve">Students present a labelled model or report on healthy eating and active living.</w:t>
      </w:r>
    </w:p>
    <w:p>
      <w:pPr>
        <w:pStyle w:val="Heading2"/>
      </w:pPr>
      <w:r>
        <w:t xml:space="preserve">Curriculum Alignment</w:t>
      </w:r>
    </w:p>
    <w:p>
      <w:pPr>
        <w:spacing w:after="120"/>
      </w:pPr>
      <w:r>
        <w:t xml:space="preserve">Students investigate physical activity and relate it to personal experience (</w:t>
      </w:r>
      <w:hyperlink w:history="1" r:id="rIdto2pwhbnmmso0uur7pegp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Students examine internal and external factors that influence food choices and decisions (</w:t>
      </w:r>
      <w:hyperlink w:history="1" r:id="rIdpn_lq05y_eadcy_52eof9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Rubric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Criterion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Beginning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Developing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Proficient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Exemplary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Understanding of Physical Activity</w:t>
            </w:r>
          </w:p>
        </w:tc>
        <w:tc>
          <w:p>
            <w:r>
              <w:t xml:space="preserve">Names one type of physical activity with minimal detail.</w:t>
            </w:r>
          </w:p>
        </w:tc>
        <w:tc>
          <w:p>
            <w:r>
              <w:t xml:space="preserve">Describes a physical activity and identifies one factor that influences it (</w:t>
            </w:r>
            <w:hyperlink w:history="1" r:id="rIdmfjh2ymilgrs2dyqr5qe9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, </w:t>
            </w:r>
            <w:hyperlink w:history="1" r:id="rIdeepq08tudqqdunqznts8n">
              <w:r>
                <w:rPr>
                  <w:color w:val="1e3a8a"/>
                  <w:u w:val="single"/>
                </w:rPr>
                <w:t xml:space="preserve">Skills</w:t>
              </w:r>
            </w:hyperlink>
            <w:r>
              <w:t xml:space="preserve">).</w:t>
            </w:r>
          </w:p>
        </w:tc>
        <w:tc>
          <w:p>
            <w:r>
              <w:t xml:space="preserve">Describes a physical activity and identifies two or more factors that influence it, such as peers, family, or enjoyment (</w:t>
            </w:r>
            <w:hyperlink w:history="1" r:id="rId9law-no0zytqjdpmuknoc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, </w:t>
            </w:r>
            <w:hyperlink w:history="1" r:id="rIdubrcjmwgys4igl7-cou_e">
              <w:r>
                <w:rPr>
                  <w:color w:val="1e3a8a"/>
                  <w:u w:val="single"/>
                </w:rPr>
                <w:t xml:space="preserve">Skills</w:t>
              </w:r>
            </w:hyperlink>
            <w:r>
              <w:t xml:space="preserve">).</w:t>
            </w:r>
          </w:p>
        </w:tc>
        <w:tc>
          <w:p>
            <w:r>
              <w:t xml:space="preserve">Explains how multiple factors influence personal physical activity choices and connects to personal experience (</w:t>
            </w:r>
            <w:hyperlink w:history="1" r:id="rIdmjvjxp9ezrn86_hyvtjnb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bso3vb1qifke0wkubhskk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, </w:t>
            </w:r>
            <w:hyperlink w:history="1" r:id="rIdyttxermrb5rqe9dypojyg">
              <w:r>
                <w:rPr>
                  <w:color w:val="1e3a8a"/>
                  <w:u w:val="single"/>
                </w:rPr>
                <w:t xml:space="preserve">Understanding</w:t>
              </w:r>
            </w:hyperlink>
            <w:r>
              <w:t xml:space="preserve">).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Knowledge of Healthy Eating</w:t>
            </w:r>
          </w:p>
        </w:tc>
        <w:tc>
          <w:p>
            <w:r>
              <w:t xml:space="preserve">Names one food or mentions hunger without detail.</w:t>
            </w:r>
          </w:p>
        </w:tc>
        <w:tc>
          <w:p>
            <w:r>
              <w:t xml:space="preserve">Identifies some foods and discusses one aspect of food choices, such as preferences or hunger cues (</w:t>
            </w:r>
            <w:hyperlink w:history="1" r:id="rIdagblyav3p361oqtex9zsb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, </w:t>
            </w:r>
            <w:hyperlink w:history="1" r:id="rIddkrf_ccjchcoos9gqrqyq">
              <w:r>
                <w:rPr>
                  <w:color w:val="1e3a8a"/>
                  <w:u w:val="single"/>
                </w:rPr>
                <w:t xml:space="preserve">Skills</w:t>
              </w:r>
            </w:hyperlink>
            <w:r>
              <w:t xml:space="preserve">).</w:t>
            </w:r>
          </w:p>
        </w:tc>
        <w:tc>
          <w:p>
            <w:r>
              <w:t xml:space="preserve">Identifies a variety of foods, discusses hunger and thirst cues, and explains one way food connects to culture or family (</w:t>
            </w:r>
            <w:hyperlink w:history="1" r:id="rIdjvkd-bicvd3usejynfhbz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, </w:t>
            </w:r>
            <w:hyperlink w:history="1" r:id="rIdotsfy4qqkobekn_lggogw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, </w:t>
            </w:r>
            <w:hyperlink w:history="1" r:id="rId42axrtjq3bdb4jrva3f-l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, </w:t>
            </w:r>
            <w:hyperlink w:history="1" r:id="rIdblihdbnecs9xxglb33jlc">
              <w:r>
                <w:rPr>
                  <w:color w:val="1e3a8a"/>
                  <w:u w:val="single"/>
                </w:rPr>
                <w:t xml:space="preserve">Skills</w:t>
              </w:r>
            </w:hyperlink>
            <w:r>
              <w:t xml:space="preserve">).</w:t>
            </w:r>
          </w:p>
        </w:tc>
        <w:tc>
          <w:p>
            <w:r>
              <w:t xml:space="preserve">Explains how internal cues (hunger, thirst) and external factors (culture, preferences, guidelines) influence food choices (</w:t>
            </w:r>
            <w:hyperlink w:history="1" r:id="rId0fhxlue7iz_kiut8kdyj5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qkybpj7d_r-vgbwhg2rxh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, </w:t>
            </w:r>
            <w:hyperlink w:history="1" r:id="rIdn1tawz-c6bzp7zrc9hvrm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, </w:t>
            </w:r>
            <w:hyperlink w:history="1" r:id="rIdvtw7zlgl4bgkwdrril8mj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).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Use of Labels and Organization</w:t>
            </w:r>
          </w:p>
        </w:tc>
        <w:tc>
          <w:p>
            <w:r>
              <w:t xml:space="preserve">Few or unclear labels; work is disorganized.</w:t>
            </w:r>
          </w:p>
        </w:tc>
        <w:tc>
          <w:p>
            <w:r>
              <w:t xml:space="preserve">Some labels present; work shows basic organization.</w:t>
            </w:r>
          </w:p>
        </w:tc>
        <w:tc>
          <w:p>
            <w:r>
              <w:t xml:space="preserve">Clear, accurate labels on most parts; work is organized and easy to follow.</w:t>
            </w:r>
          </w:p>
        </w:tc>
        <w:tc>
          <w:p>
            <w:r>
              <w:t xml:space="preserve">All parts are labelled clearly; work is well organized and visually easy to understand.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Communication</w:t>
            </w:r>
          </w:p>
        </w:tc>
        <w:tc>
          <w:p>
            <w:r>
              <w:t xml:space="preserve">Difficult to understand; incomplete sentences or drawings.</w:t>
            </w:r>
          </w:p>
        </w:tc>
        <w:tc>
          <w:p>
            <w:r>
              <w:t xml:space="preserve">Mostly clear; some sentences or drawings lack detail.</w:t>
            </w:r>
          </w:p>
        </w:tc>
        <w:tc>
          <w:p>
            <w:r>
              <w:t xml:space="preserve">Clear and complete; sentences and drawings show understanding.</w:t>
            </w:r>
          </w:p>
        </w:tc>
        <w:tc>
          <w:p>
            <w:r>
              <w:t xml:space="preserve">Very clear and detailed; effectively communicates ideas through words and visuals.</w:t>
            </w:r>
          </w:p>
        </w:tc>
      </w:tr>
    </w:tbl>
    <w:p/>
    <w:p>
      <w:pPr>
        <w:pStyle w:val="Heading2"/>
      </w:pPr>
      <w:r>
        <w:t xml:space="preserve">Scoring</w:t>
      </w:r>
    </w:p>
    <w:p>
      <w:pPr>
        <w:spacing w:after="120"/>
      </w:pPr>
      <w:r>
        <w:t xml:space="preserve">Add the level achieved in each criterion. A student working at Proficient in all four criteria earns a total of 12 points. Use this scale:</w:t>
      </w:r>
    </w:p>
    <w:p>
      <w:pPr>
        <w:pStyle w:val="ListParagraph"/>
        <w:numPr>
          <w:ilvl w:val="0"/>
          <w:numId w:val="1"/>
        </w:numPr>
      </w:pPr>
      <w:r>
        <w:t xml:space="preserve">4 to 6 points: Beginning</w:t>
      </w:r>
    </w:p>
    <w:p>
      <w:pPr>
        <w:pStyle w:val="ListParagraph"/>
        <w:numPr>
          <w:ilvl w:val="0"/>
          <w:numId w:val="1"/>
        </w:numPr>
      </w:pPr>
      <w:r>
        <w:t xml:space="preserve">7 to 10 points: Developing</w:t>
      </w:r>
    </w:p>
    <w:p>
      <w:pPr>
        <w:pStyle w:val="ListParagraph"/>
        <w:numPr>
          <w:ilvl w:val="0"/>
          <w:numId w:val="1"/>
        </w:numPr>
      </w:pPr>
      <w:r>
        <w:t xml:space="preserve">11 to 14 points: Proficient</w:t>
      </w:r>
    </w:p>
    <w:p>
      <w:pPr>
        <w:pStyle w:val="ListParagraph"/>
        <w:numPr>
          <w:ilvl w:val="0"/>
          <w:numId w:val="1"/>
        </w:numPr>
      </w:pPr>
      <w:r>
        <w:t xml:space="preserve">15 to 16 points: Exemplary</w:t>
      </w:r>
    </w:p>
    <w:p>
      <w:pPr>
        <w:pStyle w:val="Heading2"/>
      </w:pPr>
      <w:r>
        <w:t xml:space="preserve">Notes for the Teacher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Observe personal connection.</w:t>
      </w:r>
      <w:r>
        <w:t xml:space="preserve"> Look for students who link physical activity or food to their own lives (</w:t>
      </w:r>
      <w:hyperlink w:history="1" r:id="rId3spm444nn7hwrtdu8z3ru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3urbx9vxcqskbdx7_fzpb">
        <w:r>
          <w:rPr>
            <w:color w:val="1e3a8a"/>
            <w:u w:val="single"/>
          </w:rPr>
          <w:t xml:space="preserve">Outcome</w:t>
        </w:r>
      </w:hyperlink>
      <w:r>
        <w:t xml:space="preserve">). A student who says "I like soccer because my friends play" shows understanding of factors that influence choices.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Accept multiple formats.</w:t>
      </w:r>
      <w:r>
        <w:t xml:space="preserve"> A model can be a drawing with labels, a poster, a three-dimensional creation, or a written report. The criterion is whether labels are clear and the content shows understanding, not the medium chosen.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Check for factors, not lists.</w:t>
      </w:r>
      <w:r>
        <w:t xml:space="preserve"> A student naming "peers, family, culture" without explanation is developing. A student who says "I do gymnastics with my sister, so family helps me stay active" is proficient (</w:t>
      </w:r>
      <w:hyperlink w:history="1" r:id="rIdiggtdsfbhx0wpvrjqlcua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uom8hw0cfeu42sndb9f6q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Hunger and thirst cues matter.</w:t>
      </w:r>
      <w:r>
        <w:t xml:space="preserve"> Many Grade 2 students do not yet recognize their own body's signals (</w:t>
      </w:r>
      <w:hyperlink w:history="1" r:id="rId9dvdtugaiytih1ricvxky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xwromeqtvwhfnxoueppcu">
        <w:r>
          <w:rPr>
            <w:color w:val="1e3a8a"/>
            <w:u w:val="single"/>
          </w:rPr>
          <w:t xml:space="preserve">Understanding</w:t>
        </w:r>
      </w:hyperlink>
      <w:r>
        <w:t xml:space="preserve">). Accept simple language: "My tummy rumbles when I am hungry" or "My mouth feels dry when I need water."</w:t>
      </w:r>
    </w:p>
    <w:p/>
    <w:p>
      <w:r>
        <w:rPr>
          <w:color w:val="888888"/>
          <w:sz w:val="16"/>
          <w:szCs w:val="16"/>
        </w:rPr>
        <w:t xml:space="preserve">AILI marking guide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o2pwhbnmmso0uur7pegp" Type="http://schemas.openxmlformats.org/officeDocument/2006/relationships/hyperlink" Target="https://goa-cc-uat-aili-app-001.azurewebsites.net/explore/node/4275" TargetMode="External"/><Relationship Id="rIdpn_lq05y_eadcy_52eof9" Type="http://schemas.openxmlformats.org/officeDocument/2006/relationships/hyperlink" Target="https://goa-cc-uat-aili-app-001.azurewebsites.net/explore/node/4383" TargetMode="External"/><Relationship Id="rIdmfjh2ymilgrs2dyqr5qe9" Type="http://schemas.openxmlformats.org/officeDocument/2006/relationships/hyperlink" Target="https://goa-cc-uat-aili-app-001.azurewebsites.net/explore/node/4277" TargetMode="External"/><Relationship Id="rIdeepq08tudqqdunqznts8n" Type="http://schemas.openxmlformats.org/officeDocument/2006/relationships/hyperlink" Target="https://goa-cc-uat-aili-app-001.azurewebsites.net/explore/node/4279" TargetMode="External"/><Relationship Id="rId9law-no0zytqjdpmuknoc" Type="http://schemas.openxmlformats.org/officeDocument/2006/relationships/hyperlink" Target="https://goa-cc-uat-aili-app-001.azurewebsites.net/explore/node/4277" TargetMode="External"/><Relationship Id="rIdubrcjmwgys4igl7-cou_e" Type="http://schemas.openxmlformats.org/officeDocument/2006/relationships/hyperlink" Target="https://goa-cc-uat-aili-app-001.azurewebsites.net/explore/node/4279" TargetMode="External"/><Relationship Id="rIdmjvjxp9ezrn86_hyvtjnb" Type="http://schemas.openxmlformats.org/officeDocument/2006/relationships/hyperlink" Target="https://goa-cc-uat-aili-app-001.azurewebsites.net/explore/node/4275" TargetMode="External"/><Relationship Id="rIdbso3vb1qifke0wkubhskk" Type="http://schemas.openxmlformats.org/officeDocument/2006/relationships/hyperlink" Target="https://goa-cc-uat-aili-app-001.azurewebsites.net/explore/node/4277" TargetMode="External"/><Relationship Id="rIdyttxermrb5rqe9dypojyg" Type="http://schemas.openxmlformats.org/officeDocument/2006/relationships/hyperlink" Target="https://goa-cc-uat-aili-app-001.azurewebsites.net/explore/node/4278" TargetMode="External"/><Relationship Id="rIdagblyav3p361oqtex9zsb" Type="http://schemas.openxmlformats.org/officeDocument/2006/relationships/hyperlink" Target="https://goa-cc-uat-aili-app-001.azurewebsites.net/explore/node/4385" TargetMode="External"/><Relationship Id="rIddkrf_ccjchcoos9gqrqyq" Type="http://schemas.openxmlformats.org/officeDocument/2006/relationships/hyperlink" Target="https://goa-cc-uat-aili-app-001.azurewebsites.net/explore/node/4387" TargetMode="External"/><Relationship Id="rIdjvkd-bicvd3usejynfhbz" Type="http://schemas.openxmlformats.org/officeDocument/2006/relationships/hyperlink" Target="https://goa-cc-uat-aili-app-001.azurewebsites.net/explore/node/4385" TargetMode="External"/><Relationship Id="rIdotsfy4qqkobekn_lggogw" Type="http://schemas.openxmlformats.org/officeDocument/2006/relationships/hyperlink" Target="https://goa-cc-uat-aili-app-001.azurewebsites.net/explore/node/4389" TargetMode="External"/><Relationship Id="rId42axrtjq3bdb4jrva3f-l" Type="http://schemas.openxmlformats.org/officeDocument/2006/relationships/hyperlink" Target="https://goa-cc-uat-aili-app-001.azurewebsites.net/explore/node/4397" TargetMode="External"/><Relationship Id="rIdblihdbnecs9xxglb33jlc" Type="http://schemas.openxmlformats.org/officeDocument/2006/relationships/hyperlink" Target="https://goa-cc-uat-aili-app-001.azurewebsites.net/explore/node/4399" TargetMode="External"/><Relationship Id="rId0fhxlue7iz_kiut8kdyj5" Type="http://schemas.openxmlformats.org/officeDocument/2006/relationships/hyperlink" Target="https://goa-cc-uat-aili-app-001.azurewebsites.net/explore/node/4383" TargetMode="External"/><Relationship Id="rIdqkybpj7d_r-vgbwhg2rxh" Type="http://schemas.openxmlformats.org/officeDocument/2006/relationships/hyperlink" Target="https://goa-cc-uat-aili-app-001.azurewebsites.net/explore/node/4385" TargetMode="External"/><Relationship Id="rIdn1tawz-c6bzp7zrc9hvrm" Type="http://schemas.openxmlformats.org/officeDocument/2006/relationships/hyperlink" Target="https://goa-cc-uat-aili-app-001.azurewebsites.net/explore/node/4389" TargetMode="External"/><Relationship Id="rIdvtw7zlgl4bgkwdrril8mj" Type="http://schemas.openxmlformats.org/officeDocument/2006/relationships/hyperlink" Target="https://goa-cc-uat-aili-app-001.azurewebsites.net/explore/node/4397" TargetMode="External"/><Relationship Id="rId3spm444nn7hwrtdu8z3ru" Type="http://schemas.openxmlformats.org/officeDocument/2006/relationships/hyperlink" Target="https://goa-cc-uat-aili-app-001.azurewebsites.net/explore/node/4275" TargetMode="External"/><Relationship Id="rId3urbx9vxcqskbdx7_fzpb" Type="http://schemas.openxmlformats.org/officeDocument/2006/relationships/hyperlink" Target="https://goa-cc-uat-aili-app-001.azurewebsites.net/explore/node/4383" TargetMode="External"/><Relationship Id="rIdiggtdsfbhx0wpvrjqlcua" Type="http://schemas.openxmlformats.org/officeDocument/2006/relationships/hyperlink" Target="https://goa-cc-uat-aili-app-001.azurewebsites.net/explore/node/4277" TargetMode="External"/><Relationship Id="rIduom8hw0cfeu42sndb9f6q" Type="http://schemas.openxmlformats.org/officeDocument/2006/relationships/hyperlink" Target="https://goa-cc-uat-aili-app-001.azurewebsites.net/explore/node/4279" TargetMode="External"/><Relationship Id="rId9dvdtugaiytih1ricvxky" Type="http://schemas.openxmlformats.org/officeDocument/2006/relationships/hyperlink" Target="https://goa-cc-uat-aili-app-001.azurewebsites.net/explore/node/4385" TargetMode="External"/><Relationship Id="rIdxwromeqtvwhfnxoueppcu" Type="http://schemas.openxmlformats.org/officeDocument/2006/relationships/hyperlink" Target="https://goa-cc-uat-aili-app-001.azurewebsites.net/explore/node/4386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Rubric: Healthy Eating and Active Living Model or Report</dc:title>
  <dc:creator>AILI</dc:creator>
  <cp:lastModifiedBy>Un-named</cp:lastModifiedBy>
  <cp:revision>1</cp:revision>
  <dcterms:created xsi:type="dcterms:W3CDTF">2026-10-04T10:51:24.782Z</dcterms:created>
  <dcterms:modified xsi:type="dcterms:W3CDTF">2026-10-04T10:51:24.782Z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